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63" w:rsidRDefault="00CA3CFC">
      <w:r>
        <w:rPr>
          <w:rFonts w:ascii="Segoe UI" w:hAnsi="Segoe UI" w:cs="Segoe UI"/>
          <w:color w:val="50575E"/>
          <w:sz w:val="20"/>
          <w:szCs w:val="20"/>
          <w:shd w:val="clear" w:color="auto" w:fill="FFFFFF"/>
        </w:rPr>
        <w:t>Assignment Details: Type 2 diabetes occurs when our body can't produce enough insulin to move glucose into our cells. Deficient insulin levels cause glucose to remain in our bloodstream, elevating our blood glucose and resulting in type II diabetes (</w:t>
      </w:r>
      <w:proofErr w:type="spellStart"/>
      <w:r>
        <w:rPr>
          <w:rFonts w:ascii="Segoe UI" w:hAnsi="Segoe UI" w:cs="Segoe UI"/>
          <w:color w:val="50575E"/>
          <w:sz w:val="20"/>
          <w:szCs w:val="20"/>
          <w:shd w:val="clear" w:color="auto" w:fill="FFFFFF"/>
        </w:rPr>
        <w:t>Basu</w:t>
      </w:r>
      <w:proofErr w:type="spellEnd"/>
      <w:r>
        <w:rPr>
          <w:rFonts w:ascii="Segoe UI" w:hAnsi="Segoe UI" w:cs="Segoe UI"/>
          <w:color w:val="50575E"/>
          <w:sz w:val="20"/>
          <w:szCs w:val="20"/>
          <w:shd w:val="clear" w:color="auto" w:fill="FFFFFF"/>
        </w:rPr>
        <w:t>, 2017). The necessary workup for a 45-year-old obese female who is newly diagnosed with Type II diabetes includes monitoring the albumin-to-</w:t>
      </w:r>
      <w:proofErr w:type="spellStart"/>
      <w:r>
        <w:rPr>
          <w:rFonts w:ascii="Segoe UI" w:hAnsi="Segoe UI" w:cs="Segoe UI"/>
          <w:color w:val="50575E"/>
          <w:sz w:val="20"/>
          <w:szCs w:val="20"/>
          <w:shd w:val="clear" w:color="auto" w:fill="FFFFFF"/>
        </w:rPr>
        <w:t>creatinine</w:t>
      </w:r>
      <w:proofErr w:type="spellEnd"/>
      <w:r>
        <w:rPr>
          <w:rFonts w:ascii="Segoe UI" w:hAnsi="Segoe UI" w:cs="Segoe UI"/>
          <w:color w:val="50575E"/>
          <w:sz w:val="20"/>
          <w:szCs w:val="20"/>
          <w:shd w:val="clear" w:color="auto" w:fill="FFFFFF"/>
        </w:rPr>
        <w:t xml:space="preserve"> ratio, A1C, ankle-brachial index, bone mineral density, blood pressure, body mass index (BMI), estimated </w:t>
      </w:r>
      <w:proofErr w:type="spellStart"/>
      <w:r>
        <w:rPr>
          <w:rFonts w:ascii="Segoe UI" w:hAnsi="Segoe UI" w:cs="Segoe UI"/>
          <w:color w:val="50575E"/>
          <w:sz w:val="20"/>
          <w:szCs w:val="20"/>
          <w:shd w:val="clear" w:color="auto" w:fill="FFFFFF"/>
        </w:rPr>
        <w:t>glomerular</w:t>
      </w:r>
      <w:proofErr w:type="spellEnd"/>
      <w:r>
        <w:rPr>
          <w:rFonts w:ascii="Segoe UI" w:hAnsi="Segoe UI" w:cs="Segoe UI"/>
          <w:color w:val="50575E"/>
          <w:sz w:val="20"/>
          <w:szCs w:val="20"/>
          <w:shd w:val="clear" w:color="auto" w:fill="FFFFFF"/>
        </w:rPr>
        <w:t xml:space="preserve"> filtration rate (</w:t>
      </w:r>
      <w:proofErr w:type="spellStart"/>
      <w:r>
        <w:rPr>
          <w:rFonts w:ascii="Segoe UI" w:hAnsi="Segoe UI" w:cs="Segoe UI"/>
          <w:color w:val="50575E"/>
          <w:sz w:val="20"/>
          <w:szCs w:val="20"/>
          <w:shd w:val="clear" w:color="auto" w:fill="FFFFFF"/>
        </w:rPr>
        <w:t>eGFR</w:t>
      </w:r>
      <w:proofErr w:type="spellEnd"/>
      <w:r>
        <w:rPr>
          <w:rFonts w:ascii="Segoe UI" w:hAnsi="Segoe UI" w:cs="Segoe UI"/>
          <w:color w:val="50575E"/>
          <w:sz w:val="20"/>
          <w:szCs w:val="20"/>
          <w:shd w:val="clear" w:color="auto" w:fill="FFFFFF"/>
        </w:rPr>
        <w:t xml:space="preserve">), dilated eye exam, and cholesterol and triglycerides levels. This patient should have her </w:t>
      </w:r>
      <w:proofErr w:type="spellStart"/>
      <w:r>
        <w:rPr>
          <w:rFonts w:ascii="Segoe UI" w:hAnsi="Segoe UI" w:cs="Segoe UI"/>
          <w:color w:val="50575E"/>
          <w:sz w:val="20"/>
          <w:szCs w:val="20"/>
          <w:shd w:val="clear" w:color="auto" w:fill="FFFFFF"/>
        </w:rPr>
        <w:t>creatinine</w:t>
      </w:r>
      <w:proofErr w:type="spellEnd"/>
      <w:r>
        <w:rPr>
          <w:rFonts w:ascii="Segoe UI" w:hAnsi="Segoe UI" w:cs="Segoe UI"/>
          <w:color w:val="50575E"/>
          <w:sz w:val="20"/>
          <w:szCs w:val="20"/>
          <w:shd w:val="clear" w:color="auto" w:fill="FFFFFF"/>
        </w:rPr>
        <w:t xml:space="preserve"> and electrolyte levels checked to assess kidney functions, a urinalysis to evaluate </w:t>
      </w:r>
      <w:proofErr w:type="spellStart"/>
      <w:r>
        <w:rPr>
          <w:rFonts w:ascii="Segoe UI" w:hAnsi="Segoe UI" w:cs="Segoe UI"/>
          <w:color w:val="50575E"/>
          <w:sz w:val="20"/>
          <w:szCs w:val="20"/>
          <w:shd w:val="clear" w:color="auto" w:fill="FFFFFF"/>
        </w:rPr>
        <w:t>proteinuria</w:t>
      </w:r>
      <w:proofErr w:type="spellEnd"/>
      <w:r>
        <w:rPr>
          <w:rFonts w:ascii="Segoe UI" w:hAnsi="Segoe UI" w:cs="Segoe UI"/>
          <w:color w:val="50575E"/>
          <w:sz w:val="20"/>
          <w:szCs w:val="20"/>
          <w:shd w:val="clear" w:color="auto" w:fill="FFFFFF"/>
        </w:rPr>
        <w:t xml:space="preserve">, an EKG to determine the heart function, and a </w:t>
      </w:r>
      <w:proofErr w:type="spellStart"/>
      <w:r>
        <w:rPr>
          <w:rFonts w:ascii="Segoe UI" w:hAnsi="Segoe UI" w:cs="Segoe UI"/>
          <w:color w:val="50575E"/>
          <w:sz w:val="20"/>
          <w:szCs w:val="20"/>
          <w:shd w:val="clear" w:color="auto" w:fill="FFFFFF"/>
        </w:rPr>
        <w:t>fundoscopy</w:t>
      </w:r>
      <w:proofErr w:type="spellEnd"/>
      <w:r>
        <w:rPr>
          <w:rFonts w:ascii="Segoe UI" w:hAnsi="Segoe UI" w:cs="Segoe UI"/>
          <w:color w:val="50575E"/>
          <w:sz w:val="20"/>
          <w:szCs w:val="20"/>
          <w:shd w:val="clear" w:color="auto" w:fill="FFFFFF"/>
        </w:rPr>
        <w:t xml:space="preserve"> to assess the eyes.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A1C is a test that measures blood glucose levels for the previous two to three months, and it is also used to determine if a patient is at risk for other complications such as vision impairment, kidney disease, or nerve damage. Normal A1C levels should be less than 5.7%, 5.7%-6.4% are </w:t>
      </w:r>
      <w:proofErr w:type="spellStart"/>
      <w:r>
        <w:rPr>
          <w:rFonts w:ascii="Segoe UI" w:hAnsi="Segoe UI" w:cs="Segoe UI"/>
          <w:color w:val="50575E"/>
          <w:sz w:val="20"/>
          <w:szCs w:val="20"/>
          <w:shd w:val="clear" w:color="auto" w:fill="FFFFFF"/>
        </w:rPr>
        <w:t>prediabetic</w:t>
      </w:r>
      <w:proofErr w:type="spellEnd"/>
      <w:r>
        <w:rPr>
          <w:rFonts w:ascii="Segoe UI" w:hAnsi="Segoe UI" w:cs="Segoe UI"/>
          <w:color w:val="50575E"/>
          <w:sz w:val="20"/>
          <w:szCs w:val="20"/>
          <w:shd w:val="clear" w:color="auto" w:fill="FFFFFF"/>
        </w:rPr>
        <w:t>, and an A1C above 6.5% indicates diabetes. An A1C level should be done every six months if the last A1C was within normal limits, and it should be repeated every three months if there were changes made to medications or if the previous A1C level was not within normal limits (American Diabetes Association, 2023). An albumin-to-</w:t>
      </w:r>
      <w:proofErr w:type="spellStart"/>
      <w:r>
        <w:rPr>
          <w:rFonts w:ascii="Segoe UI" w:hAnsi="Segoe UI" w:cs="Segoe UI"/>
          <w:color w:val="50575E"/>
          <w:sz w:val="20"/>
          <w:szCs w:val="20"/>
          <w:shd w:val="clear" w:color="auto" w:fill="FFFFFF"/>
        </w:rPr>
        <w:t>creatinine</w:t>
      </w:r>
      <w:proofErr w:type="spellEnd"/>
      <w:r>
        <w:rPr>
          <w:rFonts w:ascii="Segoe UI" w:hAnsi="Segoe UI" w:cs="Segoe UI"/>
          <w:color w:val="50575E"/>
          <w:sz w:val="20"/>
          <w:szCs w:val="20"/>
          <w:shd w:val="clear" w:color="auto" w:fill="FFFFFF"/>
        </w:rPr>
        <w:t xml:space="preserve"> ratio (ACR) is a urine exam that tests for the amount of albumin, a protein that can cause kidney damage, in the urine. The normal range for ACR is less than 30 mg/g of urine </w:t>
      </w:r>
      <w:proofErr w:type="spellStart"/>
      <w:r>
        <w:rPr>
          <w:rFonts w:ascii="Segoe UI" w:hAnsi="Segoe UI" w:cs="Segoe UI"/>
          <w:color w:val="50575E"/>
          <w:sz w:val="20"/>
          <w:szCs w:val="20"/>
          <w:shd w:val="clear" w:color="auto" w:fill="FFFFFF"/>
        </w:rPr>
        <w:t>creatinine</w:t>
      </w:r>
      <w:proofErr w:type="spellEnd"/>
      <w:r>
        <w:rPr>
          <w:rFonts w:ascii="Segoe UI" w:hAnsi="Segoe UI" w:cs="Segoe UI"/>
          <w:color w:val="50575E"/>
          <w:sz w:val="20"/>
          <w:szCs w:val="20"/>
          <w:shd w:val="clear" w:color="auto" w:fill="FFFFFF"/>
        </w:rPr>
        <w:t xml:space="preserve">, and this exam needs to be done once a year if the patient has type II diabetes or more frequently if the previous ACR level is high. </w:t>
      </w:r>
      <w:proofErr w:type="gramStart"/>
      <w:r>
        <w:rPr>
          <w:rFonts w:ascii="Segoe UI" w:hAnsi="Segoe UI" w:cs="Segoe UI"/>
          <w:color w:val="50575E"/>
          <w:sz w:val="20"/>
          <w:szCs w:val="20"/>
          <w:shd w:val="clear" w:color="auto" w:fill="FFFFFF"/>
        </w:rPr>
        <w:t>(American Diabetes Association, 2023).</w:t>
      </w:r>
      <w:proofErr w:type="gramEnd"/>
      <w:r>
        <w:rPr>
          <w:rFonts w:ascii="Segoe UI" w:hAnsi="Segoe UI" w:cs="Segoe UI"/>
          <w:color w:val="50575E"/>
          <w:sz w:val="20"/>
          <w:szCs w:val="20"/>
          <w:shd w:val="clear" w:color="auto" w:fill="FFFFFF"/>
        </w:rPr>
        <w:t xml:space="preserve"> An ankle-brachial index is a reading obtained with blood pressure taken at the ankle and compared to blood pressure taken from the arm to screen for peripheral artery disease (PAD) to prevent risk for amputation of limbs due to reduced blood flow.</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The normal range for the ankle-brachial index is 0.9 to 1.3, and patients will only need this exam if they have symptoms of PAD (American Diabetes Association, 2023). Blood pressure will need to be monitored closely to measure the force of blood flow in the blood vessels, and for diabetic patients, their blood pressure should be less than 130/80 mmHg to reduce the risk of hypertension, stroke, heart disease, vision loss, and kidney disease (American Diabetes Association, 2023). Bone mineral density is a scan that estimates the bones' density and fragility with a normal T-score of -1.0 or above. A T-score between -1.0 and -2.5 indicates low bone density, and a T-score below -2.5 indicates osteoporosis. Diabetic patients have a higher risk for developing hip fractures and osteoporosis, so obtaining a baseline scan will benefit diabetic patients (American Diabetes Association, 2023). A body mass index (BMI) measures body fat according to height and weight, with a normal BMI of 18.5 to 24.9. Anything above 24.9 indicates overweight or obese, increasing a patient's risk of developing heart disease, </w:t>
      </w:r>
      <w:proofErr w:type="spellStart"/>
      <w:r>
        <w:rPr>
          <w:rFonts w:ascii="Segoe UI" w:hAnsi="Segoe UI" w:cs="Segoe UI"/>
          <w:color w:val="50575E"/>
          <w:sz w:val="20"/>
          <w:szCs w:val="20"/>
          <w:shd w:val="clear" w:color="auto" w:fill="FFFFFF"/>
        </w:rPr>
        <w:t>prediabetes</w:t>
      </w:r>
      <w:proofErr w:type="spellEnd"/>
      <w:r>
        <w:rPr>
          <w:rFonts w:ascii="Segoe UI" w:hAnsi="Segoe UI" w:cs="Segoe UI"/>
          <w:color w:val="50575E"/>
          <w:sz w:val="20"/>
          <w:szCs w:val="20"/>
          <w:shd w:val="clear" w:color="auto" w:fill="FFFFFF"/>
        </w:rPr>
        <w:t xml:space="preserve">, and type II diabetes. A dilated eye exam should be performed every one to two years to rule out diabetic eye diseases, including diabetic retinopathy, cataracts, and glaucoma (American Diabetes Association, 2023). Estimated </w:t>
      </w:r>
      <w:proofErr w:type="spellStart"/>
      <w:r>
        <w:rPr>
          <w:rFonts w:ascii="Segoe UI" w:hAnsi="Segoe UI" w:cs="Segoe UI"/>
          <w:color w:val="50575E"/>
          <w:sz w:val="20"/>
          <w:szCs w:val="20"/>
          <w:shd w:val="clear" w:color="auto" w:fill="FFFFFF"/>
        </w:rPr>
        <w:t>glomerular</w:t>
      </w:r>
      <w:proofErr w:type="spellEnd"/>
      <w:r>
        <w:rPr>
          <w:rFonts w:ascii="Segoe UI" w:hAnsi="Segoe UI" w:cs="Segoe UI"/>
          <w:color w:val="50575E"/>
          <w:sz w:val="20"/>
          <w:szCs w:val="20"/>
          <w:shd w:val="clear" w:color="auto" w:fill="FFFFFF"/>
        </w:rPr>
        <w:t xml:space="preserve"> filtration rate (</w:t>
      </w:r>
      <w:proofErr w:type="spellStart"/>
      <w:r>
        <w:rPr>
          <w:rFonts w:ascii="Segoe UI" w:hAnsi="Segoe UI" w:cs="Segoe UI"/>
          <w:color w:val="50575E"/>
          <w:sz w:val="20"/>
          <w:szCs w:val="20"/>
          <w:shd w:val="clear" w:color="auto" w:fill="FFFFFF"/>
        </w:rPr>
        <w:t>eGFR</w:t>
      </w:r>
      <w:proofErr w:type="spellEnd"/>
      <w:r>
        <w:rPr>
          <w:rFonts w:ascii="Segoe UI" w:hAnsi="Segoe UI" w:cs="Segoe UI"/>
          <w:color w:val="50575E"/>
          <w:sz w:val="20"/>
          <w:szCs w:val="20"/>
          <w:shd w:val="clear" w:color="auto" w:fill="FFFFFF"/>
        </w:rPr>
        <w:t xml:space="preserve">) is an estimate of the kidney functions based on the level of </w:t>
      </w:r>
      <w:proofErr w:type="spellStart"/>
      <w:r>
        <w:rPr>
          <w:rFonts w:ascii="Segoe UI" w:hAnsi="Segoe UI" w:cs="Segoe UI"/>
          <w:color w:val="50575E"/>
          <w:sz w:val="20"/>
          <w:szCs w:val="20"/>
          <w:shd w:val="clear" w:color="auto" w:fill="FFFFFF"/>
        </w:rPr>
        <w:t>creatinine</w:t>
      </w:r>
      <w:proofErr w:type="spellEnd"/>
      <w:r>
        <w:rPr>
          <w:rFonts w:ascii="Segoe UI" w:hAnsi="Segoe UI" w:cs="Segoe UI"/>
          <w:color w:val="50575E"/>
          <w:sz w:val="20"/>
          <w:szCs w:val="20"/>
          <w:shd w:val="clear" w:color="auto" w:fill="FFFFFF"/>
        </w:rPr>
        <w:t xml:space="preserve"> in the blood, with the normal range being 100-120 ml/min/1.73 m2 and the target number being higher than 80 ml/min/1.73 m2 (American Diabetes Association, 2023). Diabetic patients should get their </w:t>
      </w:r>
      <w:proofErr w:type="spellStart"/>
      <w:r>
        <w:rPr>
          <w:rFonts w:ascii="Segoe UI" w:hAnsi="Segoe UI" w:cs="Segoe UI"/>
          <w:color w:val="50575E"/>
          <w:sz w:val="20"/>
          <w:szCs w:val="20"/>
          <w:shd w:val="clear" w:color="auto" w:fill="FFFFFF"/>
        </w:rPr>
        <w:t>eGFR</w:t>
      </w:r>
      <w:proofErr w:type="spellEnd"/>
      <w:r>
        <w:rPr>
          <w:rFonts w:ascii="Segoe UI" w:hAnsi="Segoe UI" w:cs="Segoe UI"/>
          <w:color w:val="50575E"/>
          <w:sz w:val="20"/>
          <w:szCs w:val="20"/>
          <w:shd w:val="clear" w:color="auto" w:fill="FFFFFF"/>
        </w:rPr>
        <w:t xml:space="preserve"> tested once or twice a year if previous results are abnormal. Lastly, cholesterol and triglycerides are examined in a blood test called the lipid panel, which checks the HDL, LDL, triglycerides, and total cholesterol. Diabetic patients should have their lipid panel screened yearly to prevent cardiovascular disease.</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Metformin</w:t>
      </w:r>
      <w:proofErr w:type="spellEnd"/>
      <w:r>
        <w:rPr>
          <w:rFonts w:ascii="Segoe UI" w:hAnsi="Segoe UI" w:cs="Segoe UI"/>
          <w:color w:val="50575E"/>
          <w:sz w:val="20"/>
          <w:szCs w:val="20"/>
          <w:shd w:val="clear" w:color="auto" w:fill="FFFFFF"/>
        </w:rPr>
        <w:t xml:space="preserve"> is usually the initial </w:t>
      </w:r>
      <w:proofErr w:type="gramStart"/>
      <w:r>
        <w:rPr>
          <w:rFonts w:ascii="Segoe UI" w:hAnsi="Segoe UI" w:cs="Segoe UI"/>
          <w:color w:val="50575E"/>
          <w:sz w:val="20"/>
          <w:szCs w:val="20"/>
          <w:shd w:val="clear" w:color="auto" w:fill="FFFFFF"/>
        </w:rPr>
        <w:t>therapy for patients diagnosed with type II diabetes with no contraindications and are</w:t>
      </w:r>
      <w:proofErr w:type="gramEnd"/>
      <w:r>
        <w:rPr>
          <w:rFonts w:ascii="Segoe UI" w:hAnsi="Segoe UI" w:cs="Segoe UI"/>
          <w:color w:val="50575E"/>
          <w:sz w:val="20"/>
          <w:szCs w:val="20"/>
          <w:shd w:val="clear" w:color="auto" w:fill="FFFFFF"/>
        </w:rPr>
        <w:t xml:space="preserve"> asymptomatic. The initial dose for </w:t>
      </w:r>
      <w:proofErr w:type="spellStart"/>
      <w:r>
        <w:rPr>
          <w:rFonts w:ascii="Segoe UI" w:hAnsi="Segoe UI" w:cs="Segoe UI"/>
          <w:color w:val="50575E"/>
          <w:sz w:val="20"/>
          <w:szCs w:val="20"/>
          <w:shd w:val="clear" w:color="auto" w:fill="FFFFFF"/>
        </w:rPr>
        <w:t>metformin</w:t>
      </w:r>
      <w:proofErr w:type="spellEnd"/>
      <w:r>
        <w:rPr>
          <w:rFonts w:ascii="Segoe UI" w:hAnsi="Segoe UI" w:cs="Segoe UI"/>
          <w:color w:val="50575E"/>
          <w:sz w:val="20"/>
          <w:szCs w:val="20"/>
          <w:shd w:val="clear" w:color="auto" w:fill="FFFFFF"/>
        </w:rPr>
        <w:t xml:space="preserve"> is 500 mg once daily with the </w:t>
      </w:r>
      <w:r>
        <w:rPr>
          <w:rFonts w:ascii="Segoe UI" w:hAnsi="Segoe UI" w:cs="Segoe UI"/>
          <w:color w:val="50575E"/>
          <w:sz w:val="20"/>
          <w:szCs w:val="20"/>
          <w:shd w:val="clear" w:color="auto" w:fill="FFFFFF"/>
        </w:rPr>
        <w:lastRenderedPageBreak/>
        <w:t xml:space="preserve">evening meal and can be increased slowly as tolerated to reach a total dose of 2000 mg per day (Wexler et al., 2023). </w:t>
      </w:r>
      <w:proofErr w:type="spellStart"/>
      <w:r>
        <w:rPr>
          <w:rFonts w:ascii="Segoe UI" w:hAnsi="Segoe UI" w:cs="Segoe UI"/>
          <w:color w:val="50575E"/>
          <w:sz w:val="20"/>
          <w:szCs w:val="20"/>
          <w:shd w:val="clear" w:color="auto" w:fill="FFFFFF"/>
        </w:rPr>
        <w:t>Metformin</w:t>
      </w:r>
      <w:proofErr w:type="spellEnd"/>
      <w:r>
        <w:rPr>
          <w:rFonts w:ascii="Segoe UI" w:hAnsi="Segoe UI" w:cs="Segoe UI"/>
          <w:color w:val="50575E"/>
          <w:sz w:val="20"/>
          <w:szCs w:val="20"/>
          <w:shd w:val="clear" w:color="auto" w:fill="FFFFFF"/>
        </w:rPr>
        <w:t xml:space="preserve"> is the preferred initial medication due to its </w:t>
      </w:r>
      <w:proofErr w:type="spellStart"/>
      <w:r>
        <w:rPr>
          <w:rFonts w:ascii="Segoe UI" w:hAnsi="Segoe UI" w:cs="Segoe UI"/>
          <w:color w:val="50575E"/>
          <w:sz w:val="20"/>
          <w:szCs w:val="20"/>
          <w:shd w:val="clear" w:color="auto" w:fill="FFFFFF"/>
        </w:rPr>
        <w:t>glycemic</w:t>
      </w:r>
      <w:proofErr w:type="spellEnd"/>
      <w:r>
        <w:rPr>
          <w:rFonts w:ascii="Segoe UI" w:hAnsi="Segoe UI" w:cs="Segoe UI"/>
          <w:color w:val="50575E"/>
          <w:sz w:val="20"/>
          <w:szCs w:val="20"/>
          <w:shd w:val="clear" w:color="auto" w:fill="FFFFFF"/>
        </w:rPr>
        <w:t xml:space="preserve"> efficacy, low incidence of hypoglycemia, promotion of modest weight loss, favorable cost, and general tolerability, with minimal side effects for most patients. According to </w:t>
      </w:r>
      <w:proofErr w:type="spellStart"/>
      <w:r>
        <w:rPr>
          <w:rFonts w:ascii="Segoe UI" w:hAnsi="Segoe UI" w:cs="Segoe UI"/>
          <w:color w:val="50575E"/>
          <w:sz w:val="20"/>
          <w:szCs w:val="20"/>
          <w:shd w:val="clear" w:color="auto" w:fill="FFFFFF"/>
        </w:rPr>
        <w:t>Basu</w:t>
      </w:r>
      <w:proofErr w:type="spellEnd"/>
      <w:r>
        <w:rPr>
          <w:rFonts w:ascii="Segoe UI" w:hAnsi="Segoe UI" w:cs="Segoe UI"/>
          <w:color w:val="50575E"/>
          <w:sz w:val="20"/>
          <w:szCs w:val="20"/>
          <w:shd w:val="clear" w:color="auto" w:fill="FFFFFF"/>
        </w:rPr>
        <w:t xml:space="preserve">, lifestyle changes that benefit patients newly diagnosed with type II diabetes include managing blood glucose, cholesterol, blood pressure, and smoking cessation (2017). Planning healthy meals with more vegetables, limiting fat and calorie intake, and increasing physical activity like walking for 30 minutes daily for a week, are also part of managing diabetes daily. Patients newly diagnosed with diabetes should be educated to control their blood glucose, provided with symptoms for hyperglycemia and hypoglycemia, and have the necessary tools to monitor their blood sugar. Resources such as social services or psychological support should also be provided for patients newly diagnosed with type II diabetes to avoid developing psychological issues associated with their lifestyle change. According to </w:t>
      </w:r>
      <w:proofErr w:type="spellStart"/>
      <w:r>
        <w:rPr>
          <w:rFonts w:ascii="Segoe UI" w:hAnsi="Segoe UI" w:cs="Segoe UI"/>
          <w:color w:val="50575E"/>
          <w:sz w:val="20"/>
          <w:szCs w:val="20"/>
          <w:shd w:val="clear" w:color="auto" w:fill="FFFFFF"/>
        </w:rPr>
        <w:t>Leitner</w:t>
      </w:r>
      <w:proofErr w:type="spellEnd"/>
      <w:r>
        <w:rPr>
          <w:rFonts w:ascii="Segoe UI" w:hAnsi="Segoe UI" w:cs="Segoe UI"/>
          <w:color w:val="50575E"/>
          <w:sz w:val="20"/>
          <w:szCs w:val="20"/>
          <w:shd w:val="clear" w:color="auto" w:fill="FFFFFF"/>
        </w:rPr>
        <w:t xml:space="preserve"> et al., weight loss is the primary therapeutic goal in preventing and managing type II diabetes, with studies showing intensive dietary and exercise programs can decrease the risk of diabetes by 58% (2017). Weight loss can help patients regulate their lipid and glucose metabolism, resulting in enhanced response sensitivity of tissue to insulin, lowering fasting blood glucose levels in our bodies.</w:t>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References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American Diabetes Association.</w:t>
      </w:r>
      <w:proofErr w:type="gramEnd"/>
      <w:r>
        <w:rPr>
          <w:rFonts w:ascii="Segoe UI" w:hAnsi="Segoe UI" w:cs="Segoe UI"/>
          <w:color w:val="50575E"/>
          <w:sz w:val="20"/>
          <w:szCs w:val="20"/>
          <w:shd w:val="clear" w:color="auto" w:fill="FFFFFF"/>
        </w:rPr>
        <w:t xml:space="preserve"> </w:t>
      </w:r>
      <w:proofErr w:type="gramStart"/>
      <w:r>
        <w:rPr>
          <w:rFonts w:ascii="Segoe UI" w:hAnsi="Segoe UI" w:cs="Segoe UI"/>
          <w:color w:val="50575E"/>
          <w:sz w:val="20"/>
          <w:szCs w:val="20"/>
          <w:shd w:val="clear" w:color="auto" w:fill="FFFFFF"/>
        </w:rPr>
        <w:t>(2023). Health checks for people with diabetes.</w:t>
      </w:r>
      <w:proofErr w:type="gramEnd"/>
      <w:r>
        <w:rPr>
          <w:rFonts w:ascii="Segoe UI" w:hAnsi="Segoe UI" w:cs="Segoe UI"/>
          <w:color w:val="50575E"/>
          <w:sz w:val="20"/>
          <w:szCs w:val="20"/>
          <w:shd w:val="clear" w:color="auto" w:fill="FFFFFF"/>
        </w:rPr>
        <w:t xml:space="preserve"> https://www2.diabetes.org/diabetes/newly-diagnosed/health-checks-people-with-diabetes</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Basu</w:t>
      </w:r>
      <w:proofErr w:type="spellEnd"/>
      <w:r>
        <w:rPr>
          <w:rFonts w:ascii="Segoe UI" w:hAnsi="Segoe UI" w:cs="Segoe UI"/>
          <w:color w:val="50575E"/>
          <w:sz w:val="20"/>
          <w:szCs w:val="20"/>
          <w:shd w:val="clear" w:color="auto" w:fill="FFFFFF"/>
        </w:rPr>
        <w:t>, R. (2017). NIDDK: Type 2 diabetes. https://www.niddk.nih.gov/health-information/diabetes/overview/what-is-diabetes/type-2-diabetes#:~:text=Type%202%20diabetes%2C%20the%20most,to%20be%20used%20for%20energy.</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Leitner</w:t>
      </w:r>
      <w:proofErr w:type="spellEnd"/>
      <w:r>
        <w:rPr>
          <w:rFonts w:ascii="Segoe UI" w:hAnsi="Segoe UI" w:cs="Segoe UI"/>
          <w:color w:val="50575E"/>
          <w:sz w:val="20"/>
          <w:szCs w:val="20"/>
          <w:shd w:val="clear" w:color="auto" w:fill="FFFFFF"/>
        </w:rPr>
        <w:t xml:space="preserve">, D. R., </w:t>
      </w:r>
      <w:proofErr w:type="spellStart"/>
      <w:r>
        <w:rPr>
          <w:rFonts w:ascii="Segoe UI" w:hAnsi="Segoe UI" w:cs="Segoe UI"/>
          <w:color w:val="50575E"/>
          <w:sz w:val="20"/>
          <w:szCs w:val="20"/>
          <w:shd w:val="clear" w:color="auto" w:fill="FFFFFF"/>
        </w:rPr>
        <w:t>Fruhbeck</w:t>
      </w:r>
      <w:proofErr w:type="spellEnd"/>
      <w:r>
        <w:rPr>
          <w:rFonts w:ascii="Segoe UI" w:hAnsi="Segoe UI" w:cs="Segoe UI"/>
          <w:color w:val="50575E"/>
          <w:sz w:val="20"/>
          <w:szCs w:val="20"/>
          <w:shd w:val="clear" w:color="auto" w:fill="FFFFFF"/>
        </w:rPr>
        <w:t xml:space="preserve">, G., </w:t>
      </w:r>
      <w:proofErr w:type="spellStart"/>
      <w:r>
        <w:rPr>
          <w:rFonts w:ascii="Segoe UI" w:hAnsi="Segoe UI" w:cs="Segoe UI"/>
          <w:color w:val="50575E"/>
          <w:sz w:val="20"/>
          <w:szCs w:val="20"/>
          <w:shd w:val="clear" w:color="auto" w:fill="FFFFFF"/>
        </w:rPr>
        <w:t>Yumuk</w:t>
      </w:r>
      <w:proofErr w:type="spellEnd"/>
      <w:r>
        <w:rPr>
          <w:rFonts w:ascii="Segoe UI" w:hAnsi="Segoe UI" w:cs="Segoe UI"/>
          <w:color w:val="50575E"/>
          <w:sz w:val="20"/>
          <w:szCs w:val="20"/>
          <w:shd w:val="clear" w:color="auto" w:fill="FFFFFF"/>
        </w:rPr>
        <w:t xml:space="preserve">, V., Schindler, K., </w:t>
      </w:r>
      <w:proofErr w:type="spellStart"/>
      <w:r>
        <w:rPr>
          <w:rFonts w:ascii="Segoe UI" w:hAnsi="Segoe UI" w:cs="Segoe UI"/>
          <w:color w:val="50575E"/>
          <w:sz w:val="20"/>
          <w:szCs w:val="20"/>
          <w:shd w:val="clear" w:color="auto" w:fill="FFFFFF"/>
        </w:rPr>
        <w:t>Micic</w:t>
      </w:r>
      <w:proofErr w:type="spellEnd"/>
      <w:r>
        <w:rPr>
          <w:rFonts w:ascii="Segoe UI" w:hAnsi="Segoe UI" w:cs="Segoe UI"/>
          <w:color w:val="50575E"/>
          <w:sz w:val="20"/>
          <w:szCs w:val="20"/>
          <w:shd w:val="clear" w:color="auto" w:fill="FFFFFF"/>
        </w:rPr>
        <w:t xml:space="preserve">, D., Woodward, E. &amp; </w:t>
      </w:r>
      <w:proofErr w:type="spellStart"/>
      <w:r>
        <w:rPr>
          <w:rFonts w:ascii="Segoe UI" w:hAnsi="Segoe UI" w:cs="Segoe UI"/>
          <w:color w:val="50575E"/>
          <w:sz w:val="20"/>
          <w:szCs w:val="20"/>
          <w:shd w:val="clear" w:color="auto" w:fill="FFFFFF"/>
        </w:rPr>
        <w:t>Toplak</w:t>
      </w:r>
      <w:proofErr w:type="spellEnd"/>
      <w:r>
        <w:rPr>
          <w:rFonts w:ascii="Segoe UI" w:hAnsi="Segoe UI" w:cs="Segoe UI"/>
          <w:color w:val="50575E"/>
          <w:sz w:val="20"/>
          <w:szCs w:val="20"/>
          <w:shd w:val="clear" w:color="auto" w:fill="FFFFFF"/>
        </w:rPr>
        <w:t xml:space="preserve">, H. (2017). Obesity and type </w:t>
      </w:r>
      <w:proofErr w:type="gramStart"/>
      <w:r>
        <w:rPr>
          <w:rFonts w:ascii="Segoe UI" w:hAnsi="Segoe UI" w:cs="Segoe UI"/>
          <w:color w:val="50575E"/>
          <w:sz w:val="20"/>
          <w:szCs w:val="20"/>
          <w:shd w:val="clear" w:color="auto" w:fill="FFFFFF"/>
        </w:rPr>
        <w:t>2 diabetes</w:t>
      </w:r>
      <w:proofErr w:type="gramEnd"/>
      <w:r>
        <w:rPr>
          <w:rFonts w:ascii="Segoe UI" w:hAnsi="Segoe UI" w:cs="Segoe UI"/>
          <w:color w:val="50575E"/>
          <w:sz w:val="20"/>
          <w:szCs w:val="20"/>
          <w:shd w:val="clear" w:color="auto" w:fill="FFFFFF"/>
        </w:rPr>
        <w:t xml:space="preserve">: Two diseases with a need for combined treatment strategies – EASO can lead the way. </w:t>
      </w:r>
      <w:proofErr w:type="spellStart"/>
      <w:proofErr w:type="gramStart"/>
      <w:r>
        <w:rPr>
          <w:rFonts w:ascii="Segoe UI" w:hAnsi="Segoe UI" w:cs="Segoe UI"/>
          <w:color w:val="50575E"/>
          <w:sz w:val="20"/>
          <w:szCs w:val="20"/>
          <w:shd w:val="clear" w:color="auto" w:fill="FFFFFF"/>
        </w:rPr>
        <w:t>Obes</w:t>
      </w:r>
      <w:proofErr w:type="spellEnd"/>
      <w:r>
        <w:rPr>
          <w:rFonts w:ascii="Segoe UI" w:hAnsi="Segoe UI" w:cs="Segoe UI"/>
          <w:color w:val="50575E"/>
          <w:sz w:val="20"/>
          <w:szCs w:val="20"/>
          <w:shd w:val="clear" w:color="auto" w:fill="FFFFFF"/>
        </w:rPr>
        <w:t xml:space="preserve"> Facts.</w:t>
      </w:r>
      <w:proofErr w:type="gramEnd"/>
      <w:r>
        <w:rPr>
          <w:rFonts w:ascii="Segoe UI" w:hAnsi="Segoe UI" w:cs="Segoe UI"/>
          <w:color w:val="50575E"/>
          <w:sz w:val="20"/>
          <w:szCs w:val="20"/>
          <w:shd w:val="clear" w:color="auto" w:fill="FFFFFF"/>
        </w:rPr>
        <w:t xml:space="preserve"> 2017 Nov; 10(5): 483-492. DOI: 10.1150/000480525</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Wexler, D. J., Nathan, D. M. &amp; </w:t>
      </w:r>
      <w:proofErr w:type="spellStart"/>
      <w:r>
        <w:rPr>
          <w:rFonts w:ascii="Segoe UI" w:hAnsi="Segoe UI" w:cs="Segoe UI"/>
          <w:color w:val="50575E"/>
          <w:sz w:val="20"/>
          <w:szCs w:val="20"/>
          <w:shd w:val="clear" w:color="auto" w:fill="FFFFFF"/>
        </w:rPr>
        <w:t>Rubinow</w:t>
      </w:r>
      <w:proofErr w:type="spellEnd"/>
      <w:r>
        <w:rPr>
          <w:rFonts w:ascii="Segoe UI" w:hAnsi="Segoe UI" w:cs="Segoe UI"/>
          <w:color w:val="50575E"/>
          <w:sz w:val="20"/>
          <w:szCs w:val="20"/>
          <w:shd w:val="clear" w:color="auto" w:fill="FFFFFF"/>
        </w:rPr>
        <w:t xml:space="preserve">, K. (2023). </w:t>
      </w:r>
      <w:proofErr w:type="spellStart"/>
      <w:r>
        <w:rPr>
          <w:rFonts w:ascii="Segoe UI" w:hAnsi="Segoe UI" w:cs="Segoe UI"/>
          <w:color w:val="50575E"/>
          <w:sz w:val="20"/>
          <w:szCs w:val="20"/>
          <w:shd w:val="clear" w:color="auto" w:fill="FFFFFF"/>
        </w:rPr>
        <w:t>UpToDate</w:t>
      </w:r>
      <w:proofErr w:type="spellEnd"/>
      <w:r>
        <w:rPr>
          <w:rFonts w:ascii="Segoe UI" w:hAnsi="Segoe UI" w:cs="Segoe UI"/>
          <w:color w:val="50575E"/>
          <w:sz w:val="20"/>
          <w:szCs w:val="20"/>
          <w:shd w:val="clear" w:color="auto" w:fill="FFFFFF"/>
        </w:rPr>
        <w:t>: Initial management of hyperglycemia in adults with type 2 diabetes mellitus. https://www.uptodate.com/contents/initial-management-of-hyperglycemia-in-adults-with-type-2-diabetes-mellitus#H22</w:t>
      </w:r>
      <w:r>
        <w:rPr>
          <w:rFonts w:ascii="Segoe UI" w:hAnsi="Segoe UI" w:cs="Segoe UI"/>
          <w:color w:val="50575E"/>
          <w:sz w:val="20"/>
          <w:szCs w:val="20"/>
        </w:rPr>
        <w:br/>
      </w:r>
      <w:r>
        <w:rPr>
          <w:rFonts w:ascii="Segoe UI" w:hAnsi="Segoe UI" w:cs="Segoe UI"/>
          <w:color w:val="50575E"/>
          <w:sz w:val="20"/>
          <w:szCs w:val="20"/>
          <w:shd w:val="clear" w:color="auto" w:fill="FFFFFF"/>
        </w:rPr>
        <w:t>Paper Format: APA</w:t>
      </w:r>
      <w:bookmarkStart w:id="0" w:name="_GoBack"/>
      <w:bookmarkEnd w:id="0"/>
    </w:p>
    <w:sectPr w:rsidR="00A91363" w:rsidSect="00D65F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CA3CFC"/>
    <w:rsid w:val="00A91363"/>
    <w:rsid w:val="00CA3CFC"/>
    <w:rsid w:val="00D65F3D"/>
    <w:rsid w:val="00DB78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F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1007</Words>
  <Characters>5742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2024-06-14T04:36:00Z</dcterms:created>
  <dcterms:modified xsi:type="dcterms:W3CDTF">2024-06-14T04:36:00Z</dcterms:modified>
</cp:coreProperties>
</file>