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D4D17" w14:textId="01F86259" w:rsidR="00E94785" w:rsidRPr="00E94785" w:rsidRDefault="00E94785" w:rsidP="00E94785">
      <w:pPr>
        <w:shd w:val="clear" w:color="auto" w:fill="E6E6E6"/>
        <w:spacing w:after="90" w:line="240" w:lineRule="auto"/>
        <w:rPr>
          <w:rFonts w:ascii="inherit" w:eastAsia="Times New Roman" w:hAnsi="inherit" w:cs="Open Sans"/>
          <w:b/>
          <w:bCs/>
          <w:color w:val="FF0000"/>
          <w:kern w:val="0"/>
          <w:sz w:val="32"/>
          <w:szCs w:val="32"/>
          <w:bdr w:val="none" w:sz="0" w:space="0" w:color="auto" w:frame="1"/>
          <w14:ligatures w14:val="none"/>
        </w:rPr>
      </w:pPr>
      <w:r w:rsidRPr="00E94785">
        <w:rPr>
          <w:rFonts w:ascii="inherit" w:eastAsia="Times New Roman" w:hAnsi="inherit" w:cs="Open Sans"/>
          <w:b/>
          <w:bCs/>
          <w:color w:val="FF0000"/>
          <w:kern w:val="0"/>
          <w:sz w:val="32"/>
          <w:szCs w:val="32"/>
          <w:bdr w:val="none" w:sz="0" w:space="0" w:color="auto" w:frame="1"/>
          <w14:ligatures w14:val="none"/>
        </w:rPr>
        <w:t>Need 100 words reply to this discussion post with one reference 7</w:t>
      </w:r>
      <w:r w:rsidRPr="00E94785">
        <w:rPr>
          <w:rFonts w:ascii="inherit" w:eastAsia="Times New Roman" w:hAnsi="inherit" w:cs="Open Sans"/>
          <w:b/>
          <w:bCs/>
          <w:color w:val="FF0000"/>
          <w:kern w:val="0"/>
          <w:sz w:val="32"/>
          <w:szCs w:val="32"/>
          <w:bdr w:val="none" w:sz="0" w:space="0" w:color="auto" w:frame="1"/>
          <w:vertAlign w:val="superscript"/>
          <w14:ligatures w14:val="none"/>
        </w:rPr>
        <w:t>th</w:t>
      </w:r>
      <w:r w:rsidRPr="00E94785">
        <w:rPr>
          <w:rFonts w:ascii="inherit" w:eastAsia="Times New Roman" w:hAnsi="inherit" w:cs="Open Sans"/>
          <w:b/>
          <w:bCs/>
          <w:color w:val="FF0000"/>
          <w:kern w:val="0"/>
          <w:sz w:val="32"/>
          <w:szCs w:val="32"/>
          <w:bdr w:val="none" w:sz="0" w:space="0" w:color="auto" w:frame="1"/>
          <w14:ligatures w14:val="none"/>
        </w:rPr>
        <w:t xml:space="preserve"> edition APA format. </w:t>
      </w:r>
    </w:p>
    <w:p w14:paraId="6FE49490" w14:textId="77777777" w:rsidR="00E94785" w:rsidRDefault="00E94785" w:rsidP="00E94785">
      <w:pPr>
        <w:shd w:val="clear" w:color="auto" w:fill="E6E6E6"/>
        <w:spacing w:after="90" w:line="240" w:lineRule="auto"/>
        <w:rPr>
          <w:rFonts w:ascii="inherit" w:eastAsia="Times New Roman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</w:pPr>
    </w:p>
    <w:p w14:paraId="2025548C" w14:textId="77777777" w:rsidR="00E94785" w:rsidRDefault="00E94785" w:rsidP="00E94785">
      <w:pPr>
        <w:shd w:val="clear" w:color="auto" w:fill="E6E6E6"/>
        <w:spacing w:after="90" w:line="240" w:lineRule="auto"/>
        <w:rPr>
          <w:rFonts w:ascii="inherit" w:eastAsia="Times New Roman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</w:pPr>
    </w:p>
    <w:p w14:paraId="5AAA541A" w14:textId="2F2456DE" w:rsidR="00E94785" w:rsidRPr="00E94785" w:rsidRDefault="00E94785" w:rsidP="00E94785">
      <w:pPr>
        <w:shd w:val="clear" w:color="auto" w:fill="E6E6E6"/>
        <w:spacing w:after="90" w:line="240" w:lineRule="auto"/>
        <w:rPr>
          <w:rFonts w:ascii="Open Sans" w:eastAsia="Times New Roman" w:hAnsi="Open Sans" w:cs="Open Sans"/>
          <w:color w:val="000000"/>
          <w:kern w:val="0"/>
          <w:sz w:val="19"/>
          <w:szCs w:val="19"/>
          <w14:ligatures w14:val="none"/>
        </w:rPr>
      </w:pPr>
      <w:r w:rsidRPr="00E94785">
        <w:rPr>
          <w:rFonts w:ascii="inherit" w:eastAsia="Times New Roman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Amanda Griesmer </w:t>
      </w:r>
    </w:p>
    <w:p w14:paraId="53694648" w14:textId="77777777" w:rsidR="00E94785" w:rsidRPr="00E94785" w:rsidRDefault="00E94785" w:rsidP="00E94785">
      <w:pPr>
        <w:shd w:val="clear" w:color="auto" w:fill="E6E6E6"/>
        <w:spacing w:after="0" w:line="240" w:lineRule="auto"/>
        <w:rPr>
          <w:rFonts w:ascii="Open Sans" w:eastAsia="Times New Roman" w:hAnsi="Open Sans" w:cs="Open Sans"/>
          <w:b/>
          <w:bCs/>
          <w:color w:val="000000"/>
          <w:kern w:val="0"/>
          <w:sz w:val="21"/>
          <w:szCs w:val="21"/>
          <w14:ligatures w14:val="none"/>
        </w:rPr>
      </w:pPr>
      <w:r w:rsidRPr="00E94785">
        <w:rPr>
          <w:rFonts w:ascii="inherit" w:eastAsia="Times New Roman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  <w14:ligatures w14:val="none"/>
        </w:rPr>
        <w:t>M1 A2 DB: POVERTY AND SDOH</w:t>
      </w:r>
    </w:p>
    <w:p w14:paraId="08BA1406" w14:textId="77777777" w:rsidR="00E94785" w:rsidRPr="00E94785" w:rsidRDefault="00E94785" w:rsidP="00E94785">
      <w:pPr>
        <w:spacing w:after="0" w:line="240" w:lineRule="auto"/>
        <w:jc w:val="center"/>
        <w:rPr>
          <w:rFonts w:ascii="Open Sans" w:eastAsia="Times New Roman" w:hAnsi="Open Sans" w:cs="Open Sans"/>
          <w:color w:val="000000"/>
          <w:kern w:val="0"/>
          <w:sz w:val="19"/>
          <w:szCs w:val="19"/>
          <w14:ligatures w14:val="none"/>
        </w:rPr>
      </w:pPr>
      <w:hyperlink r:id="rId4" w:history="1">
        <w:r w:rsidRPr="00E94785">
          <w:rPr>
            <w:rFonts w:ascii="inherit" w:eastAsia="Times New Roman" w:hAnsi="inherit" w:cs="Open Sans"/>
            <w:b/>
            <w:bCs/>
            <w:caps/>
            <w:color w:val="666666"/>
            <w:spacing w:val="15"/>
            <w:kern w:val="0"/>
            <w:sz w:val="15"/>
            <w:szCs w:val="15"/>
            <w:u w:val="single"/>
            <w:bdr w:val="none" w:sz="0" w:space="0" w:color="auto" w:frame="1"/>
            <w:shd w:val="clear" w:color="auto" w:fill="E8E8E8"/>
            <w14:ligatures w14:val="none"/>
          </w:rPr>
          <w:t>COLLAPSE</w:t>
        </w:r>
      </w:hyperlink>
    </w:p>
    <w:p w14:paraId="659ED1D1" w14:textId="77777777" w:rsidR="00E94785" w:rsidRPr="00E94785" w:rsidRDefault="00E94785" w:rsidP="00E9478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E94785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18E41C24" w14:textId="77777777" w:rsidR="00E94785" w:rsidRPr="00E94785" w:rsidRDefault="00E94785" w:rsidP="00E94785">
      <w:pPr>
        <w:spacing w:after="0" w:line="480" w:lineRule="atLeast"/>
        <w:ind w:firstLine="720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 </w:t>
      </w:r>
    </w:p>
    <w:p w14:paraId="0218430F" w14:textId="77777777" w:rsidR="00E94785" w:rsidRPr="00E94785" w:rsidRDefault="00E94785" w:rsidP="00E94785">
      <w:pPr>
        <w:spacing w:after="0" w:line="480" w:lineRule="atLeast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         After playing this game I have a whole new perspective on budgeting money and how people may be living day to day. It is very challenging to budget money and have a work-life balance. </w:t>
      </w:r>
    </w:p>
    <w:p w14:paraId="77D14FD7" w14:textId="77777777" w:rsidR="00E94785" w:rsidRPr="00E94785" w:rsidRDefault="00E94785" w:rsidP="00E94785">
      <w:pPr>
        <w:spacing w:after="0" w:line="480" w:lineRule="atLeast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         The first time playing this game I was able to make it to day 13 without any regard to money. I felt satisfied with the choices I made since money was not an issue. I was able to do the things I wanted and be happy with my choices. However, I was also dissatisfied towards the end because I was unable to stay afloat to make it to the full 30 days.</w:t>
      </w:r>
    </w:p>
    <w:p w14:paraId="33F0F08E" w14:textId="77777777" w:rsidR="00E94785" w:rsidRPr="00E94785" w:rsidRDefault="00E94785" w:rsidP="00E94785">
      <w:pPr>
        <w:spacing w:after="0" w:line="480" w:lineRule="atLeast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        When I played the game a second time, I was able to make it the whole 30 days. At first, I felt more confident about being able to make it 30 days. However, at the same time, I also felt sad and defeated. As I was playing, the choices I had to make were not choices that I ideally wanted. I had to </w:t>
      </w:r>
      <w:proofErr w:type="gramStart"/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sacrifice on</w:t>
      </w:r>
      <w:proofErr w:type="gramEnd"/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certain things and miss family outings. Unfortunately, I was unable to do things that made me happy.</w:t>
      </w:r>
    </w:p>
    <w:p w14:paraId="3D495552" w14:textId="77777777" w:rsidR="00E94785" w:rsidRPr="00E94785" w:rsidRDefault="00E94785" w:rsidP="00E94785">
      <w:pPr>
        <w:spacing w:after="0" w:line="480" w:lineRule="atLeast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         For example, I was unable to afford a gym membership. This is important to me because it helps with my mental and physical health. Along with that, I had to do things I knew were not </w:t>
      </w:r>
      <w:proofErr w:type="gramStart"/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ideal, but</w:t>
      </w:r>
      <w:proofErr w:type="gramEnd"/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had to make those sacrifices to stay afloat for the full 30 days. I had to pick and choose what was necessary to stay alive even if that meant getting </w:t>
      </w:r>
      <w:proofErr w:type="gramStart"/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in</w:t>
      </w:r>
      <w:proofErr w:type="gramEnd"/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some financial hardships. It felt unfair throughout the game and was very challenging to make it the full 30 days.</w:t>
      </w:r>
    </w:p>
    <w:p w14:paraId="415B0D8B" w14:textId="77777777" w:rsidR="00E94785" w:rsidRPr="00E94785" w:rsidRDefault="00E94785" w:rsidP="00E94785">
      <w:pPr>
        <w:spacing w:after="0" w:line="480" w:lineRule="atLeast"/>
        <w:ind w:firstLine="720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Living in poverty does impact social determinants of health. Social determinants of health are described as how people are brought up </w:t>
      </w:r>
      <w:proofErr w:type="gramStart"/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into</w:t>
      </w:r>
      <w:proofErr w:type="gramEnd"/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the world and what they are exposed to. Research shows that living in a lower socioeconomic area impacts life expectancy (who. 2023). Being in poverty unfortunately has negative impacts on your mental and physical health. It </w:t>
      </w: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lastRenderedPageBreak/>
        <w:t>influences the way people live and how people react to certain situations (</w:t>
      </w:r>
      <w:proofErr w:type="spellStart"/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Breilh</w:t>
      </w:r>
      <w:proofErr w:type="spellEnd"/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 2023). People living in poverty do not have the same opportunities as people who are not in poverty. Health care services, education, transportation, and income just to name a few are all more challenging to obtain. The quality of life is also at a higher risk for drugs and health issues.</w:t>
      </w:r>
    </w:p>
    <w:p w14:paraId="5D2376C5" w14:textId="77777777" w:rsidR="00E94785" w:rsidRPr="00E94785" w:rsidRDefault="00E94785" w:rsidP="00E94785">
      <w:pPr>
        <w:spacing w:after="0" w:line="480" w:lineRule="atLeast"/>
        <w:ind w:firstLine="720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 </w:t>
      </w:r>
    </w:p>
    <w:p w14:paraId="6B75B645" w14:textId="26252BD7" w:rsidR="00E94785" w:rsidRPr="00E94785" w:rsidRDefault="00E94785" w:rsidP="00E94785">
      <w:pPr>
        <w:spacing w:after="0" w:line="480" w:lineRule="atLeast"/>
        <w:ind w:firstLine="720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 </w:t>
      </w:r>
    </w:p>
    <w:p w14:paraId="1DDE7891" w14:textId="77777777" w:rsidR="00E94785" w:rsidRPr="00E94785" w:rsidRDefault="00E94785" w:rsidP="00E94785">
      <w:pPr>
        <w:spacing w:after="0" w:line="480" w:lineRule="atLeast"/>
        <w:ind w:firstLine="720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 </w:t>
      </w:r>
    </w:p>
    <w:p w14:paraId="7AC4241F" w14:textId="77777777" w:rsidR="00E94785" w:rsidRPr="00E94785" w:rsidRDefault="00E94785" w:rsidP="00E94785">
      <w:pPr>
        <w:spacing w:after="0" w:line="480" w:lineRule="atLeast"/>
        <w:ind w:firstLine="7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References</w:t>
      </w:r>
    </w:p>
    <w:p w14:paraId="51AAA41C" w14:textId="77777777" w:rsidR="00E94785" w:rsidRPr="00E94785" w:rsidRDefault="00E94785" w:rsidP="00E94785">
      <w:pPr>
        <w:spacing w:after="0" w:line="480" w:lineRule="atLeast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proofErr w:type="spellStart"/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Breilh</w:t>
      </w:r>
      <w:proofErr w:type="spellEnd"/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, J. (2023). The social determination of health and the transformation of rights and ethics. </w:t>
      </w:r>
      <w:r w:rsidRPr="00E94785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Global Public Health, 18</w:t>
      </w: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(1).  </w:t>
      </w:r>
      <w:hyperlink r:id="rId5" w:history="1">
        <w:r w:rsidRPr="00E94785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14:ligatures w14:val="none"/>
          </w:rPr>
          <w:t>https://doi.org/10.1080/17441692.2023.2193830</w:t>
        </w:r>
      </w:hyperlink>
    </w:p>
    <w:p w14:paraId="1A66A0EA" w14:textId="77777777" w:rsidR="00E94785" w:rsidRPr="00E94785" w:rsidRDefault="00E94785" w:rsidP="00E94785">
      <w:pPr>
        <w:spacing w:after="0" w:line="480" w:lineRule="atLeast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 </w:t>
      </w:r>
    </w:p>
    <w:p w14:paraId="6E37E335" w14:textId="77777777" w:rsidR="00E94785" w:rsidRPr="00E94785" w:rsidRDefault="00E94785" w:rsidP="00E94785">
      <w:pPr>
        <w:spacing w:after="0" w:line="480" w:lineRule="atLeast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“Social Determinants of Health.” </w:t>
      </w:r>
      <w:r w:rsidRPr="00E94785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Social Determinants of Health-Healthy People 2030, </w:t>
      </w: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2 Aug. 2021, health.gov/healthypeople/priority-areas/social-determinants-health.</w:t>
      </w:r>
    </w:p>
    <w:p w14:paraId="71145CEA" w14:textId="77777777" w:rsidR="00E94785" w:rsidRPr="00E94785" w:rsidRDefault="00E94785" w:rsidP="00E94785">
      <w:pPr>
        <w:spacing w:after="0" w:line="480" w:lineRule="atLeast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hyperlink r:id="rId6" w:tgtFrame="_blank" w:history="1">
        <w:r w:rsidRPr="00E94785">
          <w:rPr>
            <w:rFonts w:ascii="Times New Roman" w:eastAsia="Times New Roman" w:hAnsi="Times New Roman" w:cs="Times New Roman"/>
            <w:b/>
            <w:bCs/>
            <w:color w:val="00799E"/>
            <w:kern w:val="0"/>
            <w:sz w:val="24"/>
            <w:szCs w:val="24"/>
            <w:u w:val="single"/>
            <w:bdr w:val="none" w:sz="0" w:space="0" w:color="auto" w:frame="1"/>
            <w:shd w:val="clear" w:color="auto" w:fill="FFFFFF"/>
            <w14:ligatures w14:val="none"/>
          </w:rPr>
          <w:t>https://health.gov/healthypeople/priority-areas/social-determinants-health</w:t>
        </w:r>
      </w:hyperlink>
    </w:p>
    <w:p w14:paraId="353D762B" w14:textId="77777777" w:rsidR="00E94785" w:rsidRPr="00E94785" w:rsidRDefault="00E94785" w:rsidP="00E94785">
      <w:pPr>
        <w:spacing w:after="0" w:line="480" w:lineRule="atLeast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 </w:t>
      </w:r>
    </w:p>
    <w:p w14:paraId="11EB1E86" w14:textId="77777777" w:rsidR="00E94785" w:rsidRPr="00E94785" w:rsidRDefault="00E94785" w:rsidP="00E94785">
      <w:pPr>
        <w:spacing w:after="0" w:line="480" w:lineRule="atLeast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“Social Determinants of Health.” </w:t>
      </w:r>
      <w:r w:rsidRPr="00E94785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World Health Organization, </w:t>
      </w:r>
      <w:r w:rsidRPr="00E947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World Health Organization, 2023, www.who.int/health-topics/social-determinants-of-health.</w:t>
      </w:r>
    </w:p>
    <w:p w14:paraId="03FEB86D" w14:textId="77777777" w:rsidR="00E94785" w:rsidRPr="00E94785" w:rsidRDefault="00E94785" w:rsidP="00E9478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E94785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p w14:paraId="0E53F3B9" w14:textId="77777777" w:rsidR="00A822B4" w:rsidRDefault="00A822B4"/>
    <w:sectPr w:rsidR="00A822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85"/>
    <w:rsid w:val="00A822B4"/>
    <w:rsid w:val="00E9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305D6"/>
  <w15:chartTrackingRefBased/>
  <w15:docId w15:val="{11D5911C-C65A-4453-9779-AA3959701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4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3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64331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8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4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1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96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ealth.gov/healthypeople/priority-areas/social-determinants-health" TargetMode="External"/><Relationship Id="rId5" Type="http://schemas.openxmlformats.org/officeDocument/2006/relationships/hyperlink" Target="https://doi.org/10.1080/17441692.2023.2193830" TargetMode="External"/><Relationship Id="rId4" Type="http://schemas.openxmlformats.org/officeDocument/2006/relationships/hyperlink" Target="https://blackboard.ohio.edu/webapps/discussionboard/do/message?action=list_messages&amp;course_id=_635660_1&amp;nav=discussion_board_entry&amp;conf_id=_745109_1&amp;forum_id=_873736_1&amp;message_id=_18758209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Roopan Gill</dc:creator>
  <cp:keywords/>
  <dc:description/>
  <cp:lastModifiedBy>Roopan Gill</cp:lastModifiedBy>
  <cp:revision>1</cp:revision>
  <dcterms:created xsi:type="dcterms:W3CDTF">2023-09-20T00:09:00Z</dcterms:created>
  <dcterms:modified xsi:type="dcterms:W3CDTF">2023-09-20T00:11:00Z</dcterms:modified>
</cp:coreProperties>
</file>