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Data Use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Instructions: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This discussion supports the following objectives:</w:t>
      </w:r>
    </w:p>
    <w:p w:rsidR="00716454" w:rsidRPr="00716454" w:rsidRDefault="00716454" w:rsidP="00716454">
      <w:pPr>
        <w:numPr>
          <w:ilvl w:val="0"/>
          <w:numId w:val="1"/>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Identify improvement opportunities based on performance measurement.</w:t>
      </w:r>
    </w:p>
    <w:p w:rsidR="00716454" w:rsidRPr="00716454" w:rsidRDefault="00716454" w:rsidP="00716454">
      <w:pPr>
        <w:numPr>
          <w:ilvl w:val="0"/>
          <w:numId w:val="1"/>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Aggregate and analyze performance improvement data.</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Please view this document before posting: </w:t>
      </w:r>
      <w:hyperlink r:id="rId5" w:tgtFrame="_blank" w:tooltip="Discussion Board Guidelines &amp; Examples.docx" w:history="1">
        <w:r w:rsidRPr="00716454">
          <w:rPr>
            <w:rFonts w:ascii="Times New Roman" w:eastAsia="Times New Roman" w:hAnsi="Times New Roman" w:cs="Times New Roman"/>
            <w:color w:val="1155CC"/>
            <w:sz w:val="24"/>
            <w:szCs w:val="24"/>
            <w:u w:val="single"/>
          </w:rPr>
          <w:t>Discussion Board Guidelines &amp; Examples</w:t>
        </w:r>
      </w:hyperlink>
    </w:p>
    <w:p w:rsidR="00716454" w:rsidRPr="00716454" w:rsidRDefault="00645844" w:rsidP="00716454">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00716454" w:rsidRPr="00716454">
          <w:rPr>
            <w:rFonts w:ascii="Times New Roman" w:eastAsia="Times New Roman" w:hAnsi="Times New Roman" w:cs="Times New Roman"/>
            <w:color w:val="1155CC"/>
            <w:sz w:val="24"/>
            <w:szCs w:val="24"/>
            <w:u w:val="single"/>
          </w:rPr>
          <w:t>Download Discussion Board Guidelines &amp; Examples</w:t>
        </w:r>
      </w:hyperlink>
      <w:r w:rsidR="00716454" w:rsidRPr="00716454">
        <w:rPr>
          <w:rFonts w:ascii="Times New Roman" w:eastAsia="Times New Roman" w:hAnsi="Times New Roman" w:cs="Times New Roman"/>
          <w:sz w:val="24"/>
          <w:szCs w:val="24"/>
        </w:rPr>
        <w:t> [Word Document]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Please complete the following steps for your discussion post and response.</w:t>
      </w:r>
    </w:p>
    <w:p w:rsidR="00716454" w:rsidRPr="00716454" w:rsidRDefault="00645844" w:rsidP="007164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r>
      <w:r>
        <w:rPr>
          <w:rFonts w:ascii="Times New Roman" w:eastAsia="Times New Roman" w:hAnsi="Times New Roman" w:cs="Times New Roman"/>
          <w:noProof/>
          <w:sz w:val="24"/>
          <w:szCs w:val="24"/>
        </w:rPr>
        <w:pict>
          <v:rect id="Rectangle 3" o:spid="_x0000_s1027" style="width:23.8pt;height:2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wrap type="none"/>
            <w10:anchorlock/>
          </v:rect>
        </w:pic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Review the resources in Topic 1 that explain structural, process, and outcome measures.</w:t>
      </w:r>
    </w:p>
    <w:p w:rsidR="00716454" w:rsidRPr="00716454" w:rsidRDefault="00716454" w:rsidP="00716454">
      <w:pPr>
        <w:numPr>
          <w:ilvl w:val="0"/>
          <w:numId w:val="2"/>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Discuss a time (in a healthcare context) when you might use one of these three measures.</w:t>
      </w:r>
    </w:p>
    <w:p w:rsidR="00716454" w:rsidRPr="00716454" w:rsidRDefault="00716454" w:rsidP="00716454">
      <w:pPr>
        <w:numPr>
          <w:ilvl w:val="0"/>
          <w:numId w:val="2"/>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For the measure chosen, what type of data collection and analysis would you need to do? What tools might be helpful, strategies for collection and analysis, etc.</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Be sure to answer all parts of this discussion prompt and give full details and explanations. You must include a minimum of two scholarly sources.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Cite any resources/references in APA formatting that were used in the discussion.</w:t>
      </w: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Structural Measures As defined in the Measures Management System Blueprint structural quality measure, also known as a structure measure, “assesses features of a healthcare organization or clinician relevant to its capacity to provide healthcare.” This approach to measurement focuses on the environment of care and its related administrative processes and policies. The underlying assumption is that system characteristics have a significant impact on quality of care.1 Using Structural Measures An initial step in delivering high quality healthcare is the infrastructure of the facility or organization. Structural measures are used to assess infrastructure of capacity, systems, and processes. Each category of quality measurement (structural, process, and outcome) is a piece of the complete picture, not the sole measure of quality. Structural measures can only be used as indirect measures of quality as they indicate general tendencies of quality of care.2 Structure influences processes and there needs to be a relationship between a structural measure and a process and that process must have a relationship with an outcome.3 Infrastructure includes the physical equipment and facilities, technology, and human resources of a healthcare setting. Structural measures include technological capabilities such as electronic health records (EHRs) or electronic prescribing software, medical equipment and devices, policies and procedures in place to direct staff, govern practice, and staff capabilities.4 An example of a </w:t>
      </w:r>
      <w:r w:rsidRPr="00716454">
        <w:rPr>
          <w:rFonts w:ascii="Times New Roman" w:eastAsia="Times New Roman" w:hAnsi="Times New Roman" w:cs="Times New Roman"/>
          <w:sz w:val="24"/>
          <w:szCs w:val="24"/>
        </w:rPr>
        <w:lastRenderedPageBreak/>
        <w:t xml:space="preserve">structural measure is NQF 0650: Melanoma: Continuity of Care - Recall System which looks at the percentage of patients, regardless of age, with a current diagnosis of melanoma or a history of melanoma whose information was entered, at least once within a 12-month period, into a recall system that includes: • *A target date for the next complete physical skin exam AND • A process to follow up with patients who either did not make an appointment within the specified timeframe or who missed a scheduled appointment. Two important reasons for using structural measures are • Characteristics of the healthcare environment can significantly affect the quality of care 1 </w:t>
      </w:r>
      <w:proofErr w:type="spellStart"/>
      <w:r w:rsidRPr="00716454">
        <w:rPr>
          <w:rFonts w:ascii="Times New Roman" w:eastAsia="Times New Roman" w:hAnsi="Times New Roman" w:cs="Times New Roman"/>
          <w:sz w:val="24"/>
          <w:szCs w:val="24"/>
        </w:rPr>
        <w:t>Donabedian</w:t>
      </w:r>
      <w:proofErr w:type="spellEnd"/>
      <w:r w:rsidRPr="00716454">
        <w:rPr>
          <w:rFonts w:ascii="Times New Roman" w:eastAsia="Times New Roman" w:hAnsi="Times New Roman" w:cs="Times New Roman"/>
          <w:sz w:val="24"/>
          <w:szCs w:val="24"/>
        </w:rPr>
        <w:t xml:space="preserve">, A. (2003). </w:t>
      </w:r>
      <w:proofErr w:type="gramStart"/>
      <w:r w:rsidRPr="00716454">
        <w:rPr>
          <w:rFonts w:ascii="Times New Roman" w:eastAsia="Times New Roman" w:hAnsi="Times New Roman" w:cs="Times New Roman"/>
          <w:sz w:val="24"/>
          <w:szCs w:val="24"/>
        </w:rPr>
        <w:t>An Introduction to Quality Assurance in Health Care.</w:t>
      </w:r>
      <w:proofErr w:type="gramEnd"/>
      <w:r w:rsidRPr="00716454">
        <w:rPr>
          <w:rFonts w:ascii="Times New Roman" w:eastAsia="Times New Roman" w:hAnsi="Times New Roman" w:cs="Times New Roman"/>
          <w:sz w:val="24"/>
          <w:szCs w:val="24"/>
        </w:rPr>
        <w:t xml:space="preserve"> New York: Oxford University Press. </w:t>
      </w:r>
      <w:proofErr w:type="gramStart"/>
      <w:r w:rsidRPr="00716454">
        <w:rPr>
          <w:rFonts w:ascii="Times New Roman" w:eastAsia="Times New Roman" w:hAnsi="Times New Roman" w:cs="Times New Roman"/>
          <w:sz w:val="24"/>
          <w:szCs w:val="24"/>
        </w:rPr>
        <w:t xml:space="preserve">2 </w:t>
      </w:r>
      <w:proofErr w:type="spellStart"/>
      <w:r w:rsidRPr="00716454">
        <w:rPr>
          <w:rFonts w:ascii="Times New Roman" w:eastAsia="Times New Roman" w:hAnsi="Times New Roman" w:cs="Times New Roman"/>
          <w:sz w:val="24"/>
          <w:szCs w:val="24"/>
        </w:rPr>
        <w:t>Donabedian</w:t>
      </w:r>
      <w:proofErr w:type="spellEnd"/>
      <w:r w:rsidRPr="00716454">
        <w:rPr>
          <w:rFonts w:ascii="Times New Roman" w:eastAsia="Times New Roman" w:hAnsi="Times New Roman" w:cs="Times New Roman"/>
          <w:sz w:val="24"/>
          <w:szCs w:val="24"/>
        </w:rPr>
        <w:t>, A. (1980).</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The Definition of Quality and Approached to its Assessment.</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Volume 1.</w:t>
      </w:r>
      <w:proofErr w:type="gramEnd"/>
      <w:r w:rsidRPr="00716454">
        <w:rPr>
          <w:rFonts w:ascii="Times New Roman" w:eastAsia="Times New Roman" w:hAnsi="Times New Roman" w:cs="Times New Roman"/>
          <w:sz w:val="24"/>
          <w:szCs w:val="24"/>
        </w:rPr>
        <w:t xml:space="preserve"> Ann Arbor, MI: Health Administration Press. </w:t>
      </w:r>
      <w:proofErr w:type="gramStart"/>
      <w:r w:rsidRPr="00716454">
        <w:rPr>
          <w:rFonts w:ascii="Times New Roman" w:eastAsia="Times New Roman" w:hAnsi="Times New Roman" w:cs="Times New Roman"/>
          <w:sz w:val="24"/>
          <w:szCs w:val="24"/>
        </w:rPr>
        <w:t xml:space="preserve">3 </w:t>
      </w:r>
      <w:proofErr w:type="spellStart"/>
      <w:r w:rsidRPr="00716454">
        <w:rPr>
          <w:rFonts w:ascii="Times New Roman" w:eastAsia="Times New Roman" w:hAnsi="Times New Roman" w:cs="Times New Roman"/>
          <w:sz w:val="24"/>
          <w:szCs w:val="24"/>
        </w:rPr>
        <w:t>Donabedian</w:t>
      </w:r>
      <w:proofErr w:type="spellEnd"/>
      <w:r w:rsidRPr="00716454">
        <w:rPr>
          <w:rFonts w:ascii="Times New Roman" w:eastAsia="Times New Roman" w:hAnsi="Times New Roman" w:cs="Times New Roman"/>
          <w:sz w:val="24"/>
          <w:szCs w:val="24"/>
        </w:rPr>
        <w:t>, A. (2003).</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An Introduction to Quality Assurance in Health Care.</w:t>
      </w:r>
      <w:proofErr w:type="gramEnd"/>
      <w:r w:rsidRPr="00716454">
        <w:rPr>
          <w:rFonts w:ascii="Times New Roman" w:eastAsia="Times New Roman" w:hAnsi="Times New Roman" w:cs="Times New Roman"/>
          <w:sz w:val="24"/>
          <w:szCs w:val="24"/>
        </w:rPr>
        <w:t xml:space="preserve"> New York: Oxford University Press. 4 </w:t>
      </w:r>
      <w:proofErr w:type="gramStart"/>
      <w:r w:rsidRPr="00716454">
        <w:rPr>
          <w:rFonts w:ascii="Times New Roman" w:eastAsia="Times New Roman" w:hAnsi="Times New Roman" w:cs="Times New Roman"/>
          <w:sz w:val="24"/>
          <w:szCs w:val="24"/>
        </w:rPr>
        <w:t>Agency</w:t>
      </w:r>
      <w:proofErr w:type="gramEnd"/>
      <w:r w:rsidRPr="00716454">
        <w:rPr>
          <w:rFonts w:ascii="Times New Roman" w:eastAsia="Times New Roman" w:hAnsi="Times New Roman" w:cs="Times New Roman"/>
          <w:sz w:val="24"/>
          <w:szCs w:val="24"/>
        </w:rPr>
        <w:t xml:space="preserve"> for Healthcare Research and Quality. </w:t>
      </w:r>
      <w:proofErr w:type="gramStart"/>
      <w:r w:rsidRPr="00716454">
        <w:rPr>
          <w:rFonts w:ascii="Times New Roman" w:eastAsia="Times New Roman" w:hAnsi="Times New Roman" w:cs="Times New Roman"/>
          <w:sz w:val="24"/>
          <w:szCs w:val="24"/>
        </w:rPr>
        <w:t>(</w:t>
      </w:r>
      <w:proofErr w:type="spellStart"/>
      <w:r w:rsidRPr="00716454">
        <w:rPr>
          <w:rFonts w:ascii="Times New Roman" w:eastAsia="Times New Roman" w:hAnsi="Times New Roman" w:cs="Times New Roman"/>
          <w:sz w:val="24"/>
          <w:szCs w:val="24"/>
        </w:rPr>
        <w:t>n.d</w:t>
      </w:r>
      <w:proofErr w:type="spellEnd"/>
      <w:r w:rsidRPr="00716454">
        <w:rPr>
          <w:rFonts w:ascii="Times New Roman" w:eastAsia="Times New Roman" w:hAnsi="Times New Roman" w:cs="Times New Roman"/>
          <w:sz w:val="24"/>
          <w:szCs w:val="24"/>
        </w:rPr>
        <w:t>.).</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Types of Quality Measures.</w:t>
      </w:r>
      <w:proofErr w:type="gramEnd"/>
      <w:r w:rsidRPr="00716454">
        <w:rPr>
          <w:rFonts w:ascii="Times New Roman" w:eastAsia="Times New Roman" w:hAnsi="Times New Roman" w:cs="Times New Roman"/>
          <w:sz w:val="24"/>
          <w:szCs w:val="24"/>
        </w:rPr>
        <w:t xml:space="preserve"> Retrieved from </w:t>
      </w:r>
      <w:hyperlink r:id="rId7" w:tgtFrame="_blank" w:history="1">
        <w:r w:rsidRPr="00716454">
          <w:rPr>
            <w:rFonts w:ascii="Times New Roman" w:eastAsia="Times New Roman" w:hAnsi="Times New Roman" w:cs="Times New Roman"/>
            <w:color w:val="1155CC"/>
            <w:sz w:val="24"/>
            <w:szCs w:val="24"/>
            <w:u w:val="single"/>
          </w:rPr>
          <w:t>https://www.ahrq.gov/professionals/quality-patient-safety/talkingquality/create/types.html</w:t>
        </w:r>
      </w:hyperlink>
      <w:r w:rsidRPr="00716454">
        <w:rPr>
          <w:rFonts w:ascii="Times New Roman" w:eastAsia="Times New Roman" w:hAnsi="Times New Roman" w:cs="Times New Roman"/>
          <w:sz w:val="24"/>
          <w:szCs w:val="24"/>
        </w:rPr>
        <w:t xml:space="preserve"> Centers for Medicare &amp; Medicaid | Measure Management &amp; You | February 2018 MEASURES MANAGEMENT SYSTEM • Care settings that meet certain standards have an advantage when it comes to providing high quality care.5 Accreditation and certification programs commonly use structural measures to reflect compliance or non-compliance with accreditation standards or certification requirements. As an example, if a facility is accredited or certified by one of the healthcare certification or accreditation bodies, there is reasonable expectation that a patient will receive treatment that meets a certain standard of quality and the outcomes have a better chance of being favorable than if the patient was treated at a facility without the distinction. The Pros and Cons of Structural Measures </w:t>
      </w:r>
      <w:proofErr w:type="gramStart"/>
      <w:r w:rsidRPr="00716454">
        <w:rPr>
          <w:rFonts w:ascii="Times New Roman" w:eastAsia="Times New Roman" w:hAnsi="Times New Roman" w:cs="Times New Roman"/>
          <w:sz w:val="24"/>
          <w:szCs w:val="24"/>
        </w:rPr>
        <w:t>The</w:t>
      </w:r>
      <w:proofErr w:type="gramEnd"/>
      <w:r w:rsidRPr="00716454">
        <w:rPr>
          <w:rFonts w:ascii="Times New Roman" w:eastAsia="Times New Roman" w:hAnsi="Times New Roman" w:cs="Times New Roman"/>
          <w:sz w:val="24"/>
          <w:szCs w:val="24"/>
        </w:rPr>
        <w:t xml:space="preserve"> benefit of structural measures is that they provide an indication of a healthcare organization’s or clinician’s capacity to provide for high quality care. Without the resources, policies, and procedures to provide services patients need, quality likely suffers. Since infrastructure is relatively stable, structural measures are relatively easy to develop and report.6</w:t>
      </w:r>
      <w:proofErr w:type="gramStart"/>
      <w:r w:rsidRPr="00716454">
        <w:rPr>
          <w:rFonts w:ascii="Times New Roman" w:eastAsia="Times New Roman" w:hAnsi="Times New Roman" w:cs="Times New Roman"/>
          <w:sz w:val="24"/>
          <w:szCs w:val="24"/>
        </w:rPr>
        <w:t>,7</w:t>
      </w:r>
      <w:proofErr w:type="gramEnd"/>
      <w:r w:rsidRPr="00716454">
        <w:rPr>
          <w:rFonts w:ascii="Times New Roman" w:eastAsia="Times New Roman" w:hAnsi="Times New Roman" w:cs="Times New Roman"/>
          <w:sz w:val="24"/>
          <w:szCs w:val="24"/>
        </w:rPr>
        <w:t xml:space="preserve"> The limitation of structural measures is that they do not measure the quality of care received or indicate whether a patient’s health was improved as a result of that care. The implementation of structural measures is </w:t>
      </w:r>
      <w:proofErr w:type="gramStart"/>
      <w:r w:rsidRPr="00716454">
        <w:rPr>
          <w:rFonts w:ascii="Times New Roman" w:eastAsia="Times New Roman" w:hAnsi="Times New Roman" w:cs="Times New Roman"/>
          <w:sz w:val="24"/>
          <w:szCs w:val="24"/>
        </w:rPr>
        <w:t>key</w:t>
      </w:r>
      <w:proofErr w:type="gramEnd"/>
      <w:r w:rsidRPr="00716454">
        <w:rPr>
          <w:rFonts w:ascii="Times New Roman" w:eastAsia="Times New Roman" w:hAnsi="Times New Roman" w:cs="Times New Roman"/>
          <w:sz w:val="24"/>
          <w:szCs w:val="24"/>
        </w:rPr>
        <w:t xml:space="preserve">. The ability to deliver services or access to e-prescribing software doesn’t necessarily mean those functions occur as they were intended. If a facility purchases an EHR system to meet a requirement for accreditation, but then continues to use paper charting methods, the potential benefits of EHR use, that is better quality of care, would not be realized. Having an adequate infrastructure is the first step toward providing quality of care. Structural measures are the method for assessing that infrastructure. For more information on this topic, please visit our Overview of the Specification Phase of Measure Development page on the CMS website. </w:t>
      </w:r>
      <w:proofErr w:type="gramStart"/>
      <w:r w:rsidRPr="00716454">
        <w:rPr>
          <w:rFonts w:ascii="Times New Roman" w:eastAsia="Times New Roman" w:hAnsi="Times New Roman" w:cs="Times New Roman"/>
          <w:sz w:val="24"/>
          <w:szCs w:val="24"/>
        </w:rPr>
        <w:t>5 Families USA.</w:t>
      </w:r>
      <w:proofErr w:type="gramEnd"/>
      <w:r w:rsidRPr="00716454">
        <w:rPr>
          <w:rFonts w:ascii="Times New Roman" w:eastAsia="Times New Roman" w:hAnsi="Times New Roman" w:cs="Times New Roman"/>
          <w:sz w:val="24"/>
          <w:szCs w:val="24"/>
        </w:rPr>
        <w:t xml:space="preserve"> (2014). Measuring Health Care Quality: An Overview of Quality Measures. Retrieved from </w:t>
      </w:r>
      <w:hyperlink r:id="rId8" w:tgtFrame="_blank" w:history="1">
        <w:r w:rsidRPr="00716454">
          <w:rPr>
            <w:rFonts w:ascii="Times New Roman" w:eastAsia="Times New Roman" w:hAnsi="Times New Roman" w:cs="Times New Roman"/>
            <w:color w:val="1155CC"/>
            <w:sz w:val="24"/>
            <w:szCs w:val="24"/>
            <w:u w:val="single"/>
          </w:rPr>
          <w:t>http://familiesusa.org/sites/default/files/product_documents/HSI%20Quality%20Measurement_Brief_final_web.p df</w:t>
        </w:r>
      </w:hyperlink>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 xml:space="preserve">6 </w:t>
      </w:r>
      <w:proofErr w:type="spellStart"/>
      <w:r w:rsidRPr="00716454">
        <w:rPr>
          <w:rFonts w:ascii="Times New Roman" w:eastAsia="Times New Roman" w:hAnsi="Times New Roman" w:cs="Times New Roman"/>
          <w:sz w:val="24"/>
          <w:szCs w:val="24"/>
        </w:rPr>
        <w:t>Donabedian</w:t>
      </w:r>
      <w:proofErr w:type="spellEnd"/>
      <w:r w:rsidRPr="00716454">
        <w:rPr>
          <w:rFonts w:ascii="Times New Roman" w:eastAsia="Times New Roman" w:hAnsi="Times New Roman" w:cs="Times New Roman"/>
          <w:sz w:val="24"/>
          <w:szCs w:val="24"/>
        </w:rPr>
        <w:t>, A. (1980).</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The Definition of Quality and Approached to its Assessment.</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Volume 1.</w:t>
      </w:r>
      <w:proofErr w:type="gramEnd"/>
      <w:r w:rsidRPr="00716454">
        <w:rPr>
          <w:rFonts w:ascii="Times New Roman" w:eastAsia="Times New Roman" w:hAnsi="Times New Roman" w:cs="Times New Roman"/>
          <w:sz w:val="24"/>
          <w:szCs w:val="24"/>
        </w:rPr>
        <w:t xml:space="preserve"> Ann Arbor, MI: Health Administration Press. </w:t>
      </w:r>
      <w:proofErr w:type="gramStart"/>
      <w:r w:rsidRPr="00716454">
        <w:rPr>
          <w:rFonts w:ascii="Times New Roman" w:eastAsia="Times New Roman" w:hAnsi="Times New Roman" w:cs="Times New Roman"/>
          <w:sz w:val="24"/>
          <w:szCs w:val="24"/>
        </w:rPr>
        <w:t>7 National Institutes of Health, Office of Behavioral &amp; Social Science Research.</w:t>
      </w:r>
      <w:proofErr w:type="gramEnd"/>
      <w:r w:rsidRPr="00716454">
        <w:rPr>
          <w:rFonts w:ascii="Times New Roman" w:eastAsia="Times New Roman" w:hAnsi="Times New Roman" w:cs="Times New Roman"/>
          <w:sz w:val="24"/>
          <w:szCs w:val="24"/>
        </w:rPr>
        <w:t xml:space="preserve"> </w:t>
      </w:r>
      <w:proofErr w:type="gramStart"/>
      <w:r w:rsidRPr="00716454">
        <w:rPr>
          <w:rFonts w:ascii="Times New Roman" w:eastAsia="Times New Roman" w:hAnsi="Times New Roman" w:cs="Times New Roman"/>
          <w:sz w:val="24"/>
          <w:szCs w:val="24"/>
        </w:rPr>
        <w:t>(</w:t>
      </w:r>
      <w:proofErr w:type="spellStart"/>
      <w:r w:rsidRPr="00716454">
        <w:rPr>
          <w:rFonts w:ascii="Times New Roman" w:eastAsia="Times New Roman" w:hAnsi="Times New Roman" w:cs="Times New Roman"/>
          <w:sz w:val="24"/>
          <w:szCs w:val="24"/>
        </w:rPr>
        <w:t>n.d</w:t>
      </w:r>
      <w:proofErr w:type="spellEnd"/>
      <w:r w:rsidRPr="00716454">
        <w:rPr>
          <w:rFonts w:ascii="Times New Roman" w:eastAsia="Times New Roman" w:hAnsi="Times New Roman" w:cs="Times New Roman"/>
          <w:sz w:val="24"/>
          <w:szCs w:val="24"/>
        </w:rPr>
        <w:t>). Evaluating the Quality of Health Care, Structure Measures.</w:t>
      </w:r>
      <w:proofErr w:type="gramEnd"/>
      <w:r w:rsidRPr="00716454">
        <w:rPr>
          <w:rFonts w:ascii="Times New Roman" w:eastAsia="Times New Roman" w:hAnsi="Times New Roman" w:cs="Times New Roman"/>
          <w:sz w:val="24"/>
          <w:szCs w:val="24"/>
        </w:rPr>
        <w:t xml:space="preserve"> Retrieved from </w:t>
      </w:r>
      <w:hyperlink r:id="rId9" w:tgtFrame="_blank" w:history="1">
        <w:r w:rsidRPr="00716454">
          <w:rPr>
            <w:rFonts w:ascii="Times New Roman" w:eastAsia="Times New Roman" w:hAnsi="Times New Roman" w:cs="Times New Roman"/>
            <w:color w:val="1155CC"/>
            <w:sz w:val="24"/>
            <w:szCs w:val="24"/>
            <w:u w:val="single"/>
          </w:rPr>
          <w:t>http://www.esourceresearch.org/eSourceBook/EvaluatingtheQualityofHealthCare/7StructureMeasures/tabid/81</w:t>
        </w:r>
      </w:hyperlink>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roofErr w:type="spellStart"/>
      <w:proofErr w:type="gramStart"/>
      <w:r w:rsidRPr="00716454">
        <w:rPr>
          <w:rFonts w:ascii="Times New Roman" w:eastAsia="Times New Roman" w:hAnsi="Times New Roman" w:cs="Times New Roman"/>
          <w:sz w:val="24"/>
          <w:szCs w:val="24"/>
        </w:rPr>
        <w:t>ealth</w:t>
      </w:r>
      <w:proofErr w:type="spellEnd"/>
      <w:proofErr w:type="gramEnd"/>
      <w:r w:rsidRPr="00716454">
        <w:rPr>
          <w:rFonts w:ascii="Times New Roman" w:eastAsia="Times New Roman" w:hAnsi="Times New Roman" w:cs="Times New Roman"/>
          <w:sz w:val="24"/>
          <w:szCs w:val="24"/>
        </w:rPr>
        <w:t xml:space="preserve"> systems today are scrambling to identify the most important measurements they can use to generate stable, consistent growth. A friend of mine loves to hike and was telling me about a fancy one-legged stool he carries around with him. He explained that he only really needs one leg; packing three-legged stools causes extra weight. While this mentality might work for time spent on the trail, it doesn’t hold up when it comes to measuring healthcare outcomes—I’d choose the balanced stability offered by the three-legged variety any day.</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Similarly, healthcare systems shouldn’t rely on the single “leg” of outcomes measures to </w:t>
      </w:r>
      <w:hyperlink r:id="rId10" w:tgtFrame="_blank" w:history="1">
        <w:r w:rsidRPr="00716454">
          <w:rPr>
            <w:rFonts w:ascii="Times New Roman" w:eastAsia="Times New Roman" w:hAnsi="Times New Roman" w:cs="Times New Roman"/>
            <w:color w:val="1155CC"/>
            <w:sz w:val="24"/>
            <w:szCs w:val="24"/>
            <w:u w:val="single"/>
          </w:rPr>
          <w:t>improve quality and costs</w:t>
        </w:r>
      </w:hyperlink>
      <w:r w:rsidRPr="00716454">
        <w:rPr>
          <w:rFonts w:ascii="Times New Roman" w:eastAsia="Times New Roman" w:hAnsi="Times New Roman" w:cs="Times New Roman"/>
          <w:sz w:val="24"/>
          <w:szCs w:val="24"/>
        </w:rPr>
        <w:t>, even though these metrics are plentiful. In addition, we must create a solid foundation of evidence-based process measures that provide more granular data, and then stabilize these metrics with balance measures, to help drive better outcomes.</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3 Types of Measures: Outcome Measures, Balance Measures, and Process Measures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What exactly are evidence-based process measures? First it helps to understand the three types of measures we use in healthcare analytics:</w:t>
      </w:r>
    </w:p>
    <w:p w:rsidR="00716454" w:rsidRPr="00716454" w:rsidRDefault="00716454" w:rsidP="00716454">
      <w:pPr>
        <w:numPr>
          <w:ilvl w:val="0"/>
          <w:numId w:val="3"/>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b/>
          <w:bCs/>
          <w:sz w:val="24"/>
          <w:szCs w:val="24"/>
        </w:rPr>
        <w:t>Outcome measures:</w:t>
      </w:r>
      <w:r w:rsidRPr="00716454">
        <w:rPr>
          <w:rFonts w:ascii="Times New Roman" w:eastAsia="Times New Roman" w:hAnsi="Times New Roman" w:cs="Times New Roman"/>
          <w:sz w:val="24"/>
          <w:szCs w:val="24"/>
        </w:rPr>
        <w:t> These are the high-level clinical or financial outcomes that concern healthcare organizations. They are the quality and cost targets you are targeting for improvement. These measures are often reported to government and commercial payers. Some examples of metrics for </w:t>
      </w:r>
      <w:hyperlink r:id="rId11" w:tgtFrame="_blank" w:history="1">
        <w:r w:rsidRPr="00716454">
          <w:rPr>
            <w:rFonts w:ascii="Times New Roman" w:eastAsia="Times New Roman" w:hAnsi="Times New Roman" w:cs="Times New Roman"/>
            <w:color w:val="1155CC"/>
            <w:sz w:val="24"/>
            <w:szCs w:val="24"/>
            <w:u w:val="single"/>
          </w:rPr>
          <w:t>outcome measures</w:t>
        </w:r>
      </w:hyperlink>
      <w:r w:rsidRPr="00716454">
        <w:rPr>
          <w:rFonts w:ascii="Times New Roman" w:eastAsia="Times New Roman" w:hAnsi="Times New Roman" w:cs="Times New Roman"/>
          <w:sz w:val="24"/>
          <w:szCs w:val="24"/>
        </w:rPr>
        <w:t> include </w:t>
      </w:r>
      <w:hyperlink r:id="rId12" w:tgtFrame="_blank" w:history="1">
        <w:r w:rsidRPr="00716454">
          <w:rPr>
            <w:rFonts w:ascii="Times New Roman" w:eastAsia="Times New Roman" w:hAnsi="Times New Roman" w:cs="Times New Roman"/>
            <w:color w:val="1155CC"/>
            <w:sz w:val="24"/>
            <w:szCs w:val="24"/>
            <w:u w:val="single"/>
          </w:rPr>
          <w:t>mortality rates</w:t>
        </w:r>
      </w:hyperlink>
      <w:r w:rsidRPr="00716454">
        <w:rPr>
          <w:rFonts w:ascii="Times New Roman" w:eastAsia="Times New Roman" w:hAnsi="Times New Roman" w:cs="Times New Roman"/>
          <w:sz w:val="24"/>
          <w:szCs w:val="24"/>
        </w:rPr>
        <w:t>, </w:t>
      </w:r>
      <w:hyperlink r:id="rId13" w:tgtFrame="_blank" w:history="1">
        <w:r w:rsidRPr="00716454">
          <w:rPr>
            <w:rFonts w:ascii="Times New Roman" w:eastAsia="Times New Roman" w:hAnsi="Times New Roman" w:cs="Times New Roman"/>
            <w:color w:val="1155CC"/>
            <w:sz w:val="24"/>
            <w:szCs w:val="24"/>
            <w:u w:val="single"/>
          </w:rPr>
          <w:t>readmissions rates</w:t>
        </w:r>
      </w:hyperlink>
      <w:r w:rsidRPr="00716454">
        <w:rPr>
          <w:rFonts w:ascii="Times New Roman" w:eastAsia="Times New Roman" w:hAnsi="Times New Roman" w:cs="Times New Roman"/>
          <w:sz w:val="24"/>
          <w:szCs w:val="24"/>
        </w:rPr>
        <w:t>, and surgical site infection rates.</w:t>
      </w:r>
    </w:p>
    <w:p w:rsidR="00716454" w:rsidRPr="00716454" w:rsidRDefault="00716454" w:rsidP="00716454">
      <w:pPr>
        <w:numPr>
          <w:ilvl w:val="0"/>
          <w:numId w:val="3"/>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b/>
          <w:bCs/>
          <w:sz w:val="24"/>
          <w:szCs w:val="24"/>
        </w:rPr>
        <w:t>Balance measures:</w:t>
      </w:r>
      <w:r w:rsidRPr="00716454">
        <w:rPr>
          <w:rFonts w:ascii="Times New Roman" w:eastAsia="Times New Roman" w:hAnsi="Times New Roman" w:cs="Times New Roman"/>
          <w:sz w:val="24"/>
          <w:szCs w:val="24"/>
        </w:rPr>
        <w:t> These are the metrics a health system must track to ensure an improvement in one area isn’t negatively impacting another area. For example, let’s say length of stay (LOS) in labor and delivery is the outcome metric. The hospital wants to reduce LOS and save money. The balance metric might be patient satisfaction. If mothers feel rushed toward discharge, the outcome there might be a negative impact on patient satisfaction even while improving LOS.</w:t>
      </w:r>
    </w:p>
    <w:p w:rsidR="00716454" w:rsidRPr="00716454" w:rsidRDefault="00716454" w:rsidP="00716454">
      <w:pPr>
        <w:numPr>
          <w:ilvl w:val="0"/>
          <w:numId w:val="3"/>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b/>
          <w:bCs/>
          <w:sz w:val="24"/>
          <w:szCs w:val="24"/>
        </w:rPr>
        <w:t>Process measures:</w:t>
      </w:r>
      <w:r w:rsidRPr="00716454">
        <w:rPr>
          <w:rFonts w:ascii="Times New Roman" w:eastAsia="Times New Roman" w:hAnsi="Times New Roman" w:cs="Times New Roman"/>
          <w:sz w:val="24"/>
          <w:szCs w:val="24"/>
        </w:rPr>
        <w:t> These measures are the specific steps in a process that lead — either positively or negatively — to a particular outcome metric. For example, let’s say the outcome measure is LOS. A process metric for that outcome might be the amount of time that passes between when the physician ordered the discharge and when the patient was actually discharged. Digging even deeper, you might look at the turnaround time between final take-home medication being ordered and medication delivery to the unit. If it takes the pharmacy three hours to get the necessary medications to the floor — potentially delaying the discharge — you’ve pinpointed a concrete opportunity for healthcare process improvement.</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Process Measures Are Important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Process measures are the evidence-based best practices that represent a health system’s efforts to systematize its improvement efforts. To illustrate this, I’ll use a patient injury prevention example. Let’s say your organization needs to reduce the incidence of pressure ulcers commonly </w:t>
      </w:r>
      <w:r w:rsidRPr="00716454">
        <w:rPr>
          <w:rFonts w:ascii="Times New Roman" w:eastAsia="Times New Roman" w:hAnsi="Times New Roman" w:cs="Times New Roman"/>
          <w:sz w:val="24"/>
          <w:szCs w:val="24"/>
        </w:rPr>
        <w:lastRenderedPageBreak/>
        <w:t>known as bed sores. That is your outcome measure. You know your baseline rate, and you want to reduce it, but how are you actually going to drive improvement?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answer is straightforward: by implementing and tracking the right process metrics. Process measures in this example are the steps that should be performed every time for every bed-bound patient in the intensive care unit (ICU) or in the med-</w:t>
      </w:r>
      <w:proofErr w:type="spellStart"/>
      <w:r w:rsidRPr="00716454">
        <w:rPr>
          <w:rFonts w:ascii="Times New Roman" w:eastAsia="Times New Roman" w:hAnsi="Times New Roman" w:cs="Times New Roman"/>
          <w:sz w:val="24"/>
          <w:szCs w:val="24"/>
        </w:rPr>
        <w:t>surg</w:t>
      </w:r>
      <w:proofErr w:type="spellEnd"/>
      <w:r w:rsidRPr="00716454">
        <w:rPr>
          <w:rFonts w:ascii="Times New Roman" w:eastAsia="Times New Roman" w:hAnsi="Times New Roman" w:cs="Times New Roman"/>
          <w:sz w:val="24"/>
          <w:szCs w:val="24"/>
        </w:rPr>
        <w:t xml:space="preserve"> unit. The first and most important process measure would be performing a risk assessment using the Braden Scale for predicting pressure ulcer risk on all the appropriate units in the hospital.</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Patients identified as “at risk” would then receive treatment for preventing bedsores according to your organization’s chosen best-practice protocol. For example, you might set up protocols for reassessment, nutrition, lifting and repositioning the patient, providing a special mattress, and skin care. The important thing is that each of these steps in the process </w:t>
      </w:r>
      <w:proofErr w:type="gramStart"/>
      <w:r w:rsidRPr="00716454">
        <w:rPr>
          <w:rFonts w:ascii="Times New Roman" w:eastAsia="Times New Roman" w:hAnsi="Times New Roman" w:cs="Times New Roman"/>
          <w:sz w:val="24"/>
          <w:szCs w:val="24"/>
        </w:rPr>
        <w:t>can be can</w:t>
      </w:r>
      <w:proofErr w:type="gramEnd"/>
      <w:r w:rsidRPr="00716454">
        <w:rPr>
          <w:rFonts w:ascii="Times New Roman" w:eastAsia="Times New Roman" w:hAnsi="Times New Roman" w:cs="Times New Roman"/>
          <w:sz w:val="24"/>
          <w:szCs w:val="24"/>
        </w:rPr>
        <w:t xml:space="preserve"> be tracked and measured. Over time, as you develop an adequate sample size, you can begin to identify which process steps are the most important for preventing negative outcomes.</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Determining Root Cause to Solve the Problem</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One of the greatest benefits of having this process metric data on hand is the ability to identify what is really causing the problem with pressure ulcers in your organization. I can assure you that the problem does not stem from your people. It stems from your process. In most organizations, however, the system of incident reporting doesn’t recognize this fact. There is a stigma attached to filling out the report: “You failed. You’re a bad nurse because your patient got a bed sore.” Often, many borderline cases go unreported because of the lack of a culture based on a learning environment and too much focus on outcomes metrics.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b/>
          <w:bCs/>
          <w:sz w:val="24"/>
          <w:szCs w:val="24"/>
        </w:rPr>
        <w:t>Really, it is the process that failed, not the person.</w:t>
      </w:r>
      <w:r w:rsidRPr="00716454">
        <w:rPr>
          <w:rFonts w:ascii="Times New Roman" w:eastAsia="Times New Roman" w:hAnsi="Times New Roman" w:cs="Times New Roman"/>
          <w:sz w:val="24"/>
          <w:szCs w:val="24"/>
        </w:rPr>
        <w:t xml:space="preserve"> One of my favorite quotes is from Paul </w:t>
      </w:r>
      <w:proofErr w:type="spellStart"/>
      <w:r w:rsidRPr="00716454">
        <w:rPr>
          <w:rFonts w:ascii="Times New Roman" w:eastAsia="Times New Roman" w:hAnsi="Times New Roman" w:cs="Times New Roman"/>
          <w:sz w:val="24"/>
          <w:szCs w:val="24"/>
        </w:rPr>
        <w:t>Batalden</w:t>
      </w:r>
      <w:proofErr w:type="spellEnd"/>
      <w:r w:rsidRPr="00716454">
        <w:rPr>
          <w:rFonts w:ascii="Times New Roman" w:eastAsia="Times New Roman" w:hAnsi="Times New Roman" w:cs="Times New Roman"/>
          <w:sz w:val="24"/>
          <w:szCs w:val="24"/>
        </w:rPr>
        <w:t>, MD, and it goes like this: “Every system is perfectly designed to get the results it gets.” If you don’t have a well-designed process in place to prevent pressure ulcers, it should be no surprise if you don’t perform well on that outcome metric.</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By tracking process measures, you can pinpoint the root cause of the system’s failure. You might find that you have a shortage of pressure-redistributing mattresses in the supply room, or that you didn’t do a risk assessment for every patient who arrived on the unit, or that the right skincare products aren’t accessible on the floor when needed. Whatever the problem, you can then assess it and fix it.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What you’re trying to do is move from a craftsmanship mentality to a system of production. And process metrics are the way that you do that. They’re the checklists to systematically guarantee that the right care will be delivered to every patient, every time.</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Using Process Measures and Reducing Variation</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Process measures improve quality and cost by enabling organizations to reduce the amount of variation in care delivery. When you establish process metrics at potential points of variation in a </w:t>
      </w:r>
      <w:r w:rsidRPr="00716454">
        <w:rPr>
          <w:rFonts w:ascii="Times New Roman" w:eastAsia="Times New Roman" w:hAnsi="Times New Roman" w:cs="Times New Roman"/>
          <w:sz w:val="24"/>
          <w:szCs w:val="24"/>
        </w:rPr>
        <w:lastRenderedPageBreak/>
        <w:t>care process, you can monitor and reduce inappropriate variation. A value stream map is a great tool to outline a care process and identify potential points of variation that can be measured.</w:t>
      </w:r>
    </w:p>
    <w:p w:rsidR="00716454" w:rsidRPr="00716454" w:rsidRDefault="00716454" w:rsidP="00716454">
      <w:pPr>
        <w:spacing w:after="0"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noProof/>
          <w:sz w:val="24"/>
          <w:szCs w:val="24"/>
        </w:rPr>
        <w:drawing>
          <wp:inline distT="0" distB="0" distL="0" distR="0">
            <wp:extent cx="4822825" cy="3104515"/>
            <wp:effectExtent l="0" t="0" r="0" b="635"/>
            <wp:docPr id="2" name="Picture 2" descr="Sample visual of a value-stream map approach to map a workflow - care process model for pregn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ple visual of a value-stream map approach to map a workflow - care process model for pregnancy"/>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22825" cy="3104515"/>
                    </a:xfrm>
                    <a:prstGeom prst="rect">
                      <a:avLst/>
                    </a:prstGeom>
                    <a:noFill/>
                    <a:ln>
                      <a:noFill/>
                    </a:ln>
                  </pic:spPr>
                </pic:pic>
              </a:graphicData>
            </a:graphic>
          </wp:inline>
        </w:drawing>
      </w:r>
      <w:r w:rsidRPr="00716454">
        <w:rPr>
          <w:rFonts w:ascii="Times New Roman" w:eastAsia="Times New Roman" w:hAnsi="Times New Roman" w:cs="Times New Roman"/>
          <w:i/>
          <w:iCs/>
          <w:sz w:val="24"/>
          <w:szCs w:val="24"/>
        </w:rPr>
        <w:t>This image shows an example of a care process model for pregnancy that uses a value-stream map approach to map a workflow. The black font shows the value added steps in the process and the red font identifies potential process metrics that could be tracked to measure variation in the process.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 value-stream map outlines the steps in a process that deliver value to a patient. Each of those steps may have a process measure useful in measuring process consistency. By measuring these steps, you can discover points of variation. For example, you might discover that one step in the process takes some units one hour to complete and other units five hours. Or it might cost some units $2,000 and other units $8,000. Those instances of variation provide opportunities to explore the data to understand why the variation exists. From there, it’s possible to standardize processes so that all patients consistently receive the highest-quality care at the lowest possible cost regardless of which unit, which hospital, or which clinic they are visiting.</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Why You Need an Enterprise Data Warehouse to Track Process Metrics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So why don’t more healthcare organizations have these kinds of systems in place? The answer is that they don’t have the infrastructure to handle outcome, process, and balance metrics. If they only have the resources to track one of these, they’ll choose outcome metrics, because those are the measures that must be submitted to CMS.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The reason organizations struggle to track all types of measures is because their analytics methodologies rely too much on manual work. When you don’t have the right technology infrastructure in place to automate the extraction and distribution of data, you end up </w:t>
      </w:r>
      <w:r w:rsidRPr="00716454">
        <w:rPr>
          <w:rFonts w:ascii="Times New Roman" w:eastAsia="Times New Roman" w:hAnsi="Times New Roman" w:cs="Times New Roman"/>
          <w:sz w:val="24"/>
          <w:szCs w:val="24"/>
        </w:rPr>
        <w:lastRenderedPageBreak/>
        <w:t>having to do it all manually. You might be able to successfully use manual methods to track improvement for one process or even two, but once you get to the third, fourth, or fifth process, the manual work becomes unsustainable. And without continuous measurement, you won’t be able to sustain the gains you made in one process once you move on to the next.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That’s where an enterprise data warehouse (EDW) with </w:t>
      </w:r>
      <w:proofErr w:type="gramStart"/>
      <w:r w:rsidRPr="00716454">
        <w:rPr>
          <w:rFonts w:ascii="Times New Roman" w:eastAsia="Times New Roman" w:hAnsi="Times New Roman" w:cs="Times New Roman"/>
          <w:sz w:val="24"/>
          <w:szCs w:val="24"/>
        </w:rPr>
        <w:t>a robust</w:t>
      </w:r>
      <w:proofErr w:type="gramEnd"/>
      <w:r w:rsidRPr="00716454">
        <w:rPr>
          <w:rFonts w:ascii="Times New Roman" w:eastAsia="Times New Roman" w:hAnsi="Times New Roman" w:cs="Times New Roman"/>
          <w:sz w:val="24"/>
          <w:szCs w:val="24"/>
        </w:rPr>
        <w:t xml:space="preserve"> and flexible analytics architecture comes in. An EDW forms the foundation for healthcare analytics by bringing all of a health system’s data into a single source of organizational truth. This makes it possible to eliminate the manual process of gathering data and instead, delivers the automation you need to track a wide variety of outcome, process, and balance measures simultaneously. With an EDW, analysts can then focus their time on discovering patterns in the data that will lead to understanding, insight, and ultimately action. But without an EDW, it will be very difficult for analysts to provide reliable and repeatable reports and in-depth analyses of areas that will reveal the best opportunities for improving outcomes.</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 xml:space="preserve">The Health Catalyst Data Operating System (DOS™) Helps Healthcare Organizations Move </w:t>
      </w:r>
      <w:proofErr w:type="gramStart"/>
      <w:r w:rsidRPr="00716454">
        <w:rPr>
          <w:rFonts w:ascii="Times New Roman" w:eastAsia="Times New Roman" w:hAnsi="Times New Roman" w:cs="Times New Roman"/>
          <w:b/>
          <w:bCs/>
          <w:sz w:val="27"/>
          <w:szCs w:val="27"/>
        </w:rPr>
        <w:t>Beyond</w:t>
      </w:r>
      <w:proofErr w:type="gramEnd"/>
      <w:r w:rsidRPr="00716454">
        <w:rPr>
          <w:rFonts w:ascii="Times New Roman" w:eastAsia="Times New Roman" w:hAnsi="Times New Roman" w:cs="Times New Roman"/>
          <w:b/>
          <w:bCs/>
          <w:sz w:val="27"/>
          <w:szCs w:val="27"/>
        </w:rPr>
        <w:t xml:space="preserve"> the Data Warehouse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Traditional data warehousing, which solved some of the data integration issues facing healthcare organizations, is no longer good enough. As </w:t>
      </w:r>
      <w:hyperlink r:id="rId15" w:tgtFrame="_blank" w:history="1">
        <w:r w:rsidRPr="00716454">
          <w:rPr>
            <w:rFonts w:ascii="Times New Roman" w:eastAsia="Times New Roman" w:hAnsi="Times New Roman" w:cs="Times New Roman"/>
            <w:color w:val="1155CC"/>
            <w:sz w:val="24"/>
            <w:szCs w:val="24"/>
            <w:u w:val="single"/>
          </w:rPr>
          <w:t>Gartner</w:t>
        </w:r>
      </w:hyperlink>
      <w:r w:rsidRPr="00716454">
        <w:rPr>
          <w:rFonts w:ascii="Times New Roman" w:eastAsia="Times New Roman" w:hAnsi="Times New Roman" w:cs="Times New Roman"/>
          <w:sz w:val="24"/>
          <w:szCs w:val="24"/>
        </w:rPr>
        <w:t> reported, traditional data warehousing will be outdated and replaced by new architectures by the end of 2018. And current applications are no longer sufficient to manage these burgeoning healthcare issues. The technology is now available to change the digital trajectory of healthcare.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Health Catalyst Data Operating System (DOS™) is a breakthrough engineering approach that combines the features of data warehousing, clinical data repositories, and health information exchanges in a single, common-sense technology platform.</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DOS offers the ideal type of analytics platform for healthcare because of its flexibility. DOS is a vendor-agnostic digital backbone for healthcare. The future of healthcare will be centered </w:t>
      </w:r>
      <w:proofErr w:type="gramStart"/>
      <w:r w:rsidRPr="00716454">
        <w:rPr>
          <w:rFonts w:ascii="Times New Roman" w:eastAsia="Times New Roman" w:hAnsi="Times New Roman" w:cs="Times New Roman"/>
          <w:sz w:val="24"/>
          <w:szCs w:val="24"/>
        </w:rPr>
        <w:t>around</w:t>
      </w:r>
      <w:proofErr w:type="gramEnd"/>
      <w:r w:rsidRPr="00716454">
        <w:rPr>
          <w:rFonts w:ascii="Times New Roman" w:eastAsia="Times New Roman" w:hAnsi="Times New Roman" w:cs="Times New Roman"/>
          <w:sz w:val="24"/>
          <w:szCs w:val="24"/>
        </w:rPr>
        <w:t xml:space="preserve"> the broad and more effective use of data from any source. Clinical and financial decision support at the point of care is almost nonexistent in healthcare, restricted to a few pioneering organizations that can afford the engineering and informatics staff to implement and maintain it. With DOS, this kind of decision support is affordable and effective, raising the value of existing electronic health records and making new software applications possible.</w:t>
      </w:r>
    </w:p>
    <w:p w:rsidR="00716454" w:rsidRPr="00716454" w:rsidRDefault="00645844" w:rsidP="00716454">
      <w:pPr>
        <w:spacing w:after="0" w:line="240" w:lineRule="auto"/>
        <w:rPr>
          <w:rFonts w:ascii="Times New Roman" w:eastAsia="Times New Roman" w:hAnsi="Times New Roman" w:cs="Times New Roman"/>
          <w:sz w:val="24"/>
          <w:szCs w:val="24"/>
        </w:rPr>
      </w:pPr>
      <w:r w:rsidRPr="00645844">
        <w:rPr>
          <w:rFonts w:ascii="Times New Roman" w:eastAsia="Times New Roman" w:hAnsi="Times New Roman" w:cs="Times New Roman"/>
          <w:sz w:val="24"/>
          <w:szCs w:val="24"/>
        </w:rPr>
        <w:pict>
          <v:rect id="_x0000_i1026" style="width:0;height:1.5pt" o:hralign="center" o:hrstd="t" o:hr="t" fillcolor="#a0a0a0" stroked="f"/>
        </w:pic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PowerPoint Slides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Would you like to use or share these concepts? Download this presentation highlighting the key main points.</w:t>
      </w:r>
    </w:p>
    <w:p w:rsidR="00716454" w:rsidRPr="00716454" w:rsidRDefault="00645844" w:rsidP="00716454">
      <w:p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00716454" w:rsidRPr="00716454">
          <w:rPr>
            <w:rFonts w:ascii="Times New Roman" w:eastAsia="Times New Roman" w:hAnsi="Times New Roman" w:cs="Times New Roman"/>
            <w:b/>
            <w:bCs/>
            <w:color w:val="1155CC"/>
            <w:sz w:val="24"/>
            <w:szCs w:val="24"/>
            <w:u w:val="single"/>
          </w:rPr>
          <w:t>Click Here to Download the Slides</w:t>
        </w:r>
      </w:hyperlink>
    </w:p>
    <w:p w:rsidR="00716454" w:rsidRPr="00716454" w:rsidRDefault="00645844" w:rsidP="00716454">
      <w:pPr>
        <w:spacing w:after="75" w:line="240" w:lineRule="auto"/>
        <w:rPr>
          <w:rFonts w:ascii="Times New Roman" w:eastAsia="Times New Roman" w:hAnsi="Times New Roman" w:cs="Times New Roman"/>
          <w:sz w:val="24"/>
          <w:szCs w:val="24"/>
        </w:rPr>
      </w:pPr>
      <w:hyperlink r:id="rId17" w:tgtFrame="_blank" w:tooltip="Why Process Measures Are Often More Important Than Outcome Measures in Healthcare" w:history="1">
        <w:r w:rsidR="00716454" w:rsidRPr="00716454">
          <w:rPr>
            <w:rFonts w:ascii="Times New Roman" w:eastAsia="Times New Roman" w:hAnsi="Times New Roman" w:cs="Times New Roman"/>
            <w:b/>
            <w:bCs/>
            <w:color w:val="1155CC"/>
            <w:sz w:val="24"/>
            <w:szCs w:val="24"/>
            <w:u w:val="single"/>
          </w:rPr>
          <w:t>Why Process Measures Are Often More Important Than Outcome Measures in Healthcare</w:t>
        </w:r>
      </w:hyperlink>
      <w:r w:rsidR="00716454" w:rsidRPr="00716454">
        <w:rPr>
          <w:rFonts w:ascii="Times New Roman" w:eastAsia="Times New Roman" w:hAnsi="Times New Roman" w:cs="Times New Roman"/>
          <w:b/>
          <w:bCs/>
          <w:sz w:val="24"/>
          <w:szCs w:val="24"/>
        </w:rPr>
        <w:t> </w:t>
      </w:r>
      <w:r w:rsidR="00716454" w:rsidRPr="00716454">
        <w:rPr>
          <w:rFonts w:ascii="Times New Roman" w:eastAsia="Times New Roman" w:hAnsi="Times New Roman" w:cs="Times New Roman"/>
          <w:sz w:val="24"/>
          <w:szCs w:val="24"/>
        </w:rPr>
        <w:t>from </w:t>
      </w:r>
      <w:hyperlink r:id="rId18" w:tgtFrame="_blank" w:history="1">
        <w:r w:rsidR="00716454" w:rsidRPr="00716454">
          <w:rPr>
            <w:rFonts w:ascii="Times New Roman" w:eastAsia="Times New Roman" w:hAnsi="Times New Roman" w:cs="Times New Roman"/>
            <w:b/>
            <w:bCs/>
            <w:color w:val="1155CC"/>
            <w:sz w:val="24"/>
            <w:szCs w:val="24"/>
            <w:u w:val="single"/>
          </w:rPr>
          <w:t>Health Catalyst</w:t>
        </w:r>
      </w:hyperlink>
    </w:p>
    <w:p w:rsidR="00716454" w:rsidRPr="00716454" w:rsidRDefault="00716454" w:rsidP="0071645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16454">
        <w:rPr>
          <w:rFonts w:ascii="Times New Roman" w:eastAsia="Times New Roman" w:hAnsi="Times New Roman" w:cs="Times New Roman"/>
          <w:b/>
          <w:bCs/>
          <w:kern w:val="36"/>
          <w:sz w:val="48"/>
          <w:szCs w:val="48"/>
        </w:rPr>
        <w:t>6 Proven Strategies for Engaging Physicians—and 4 Ways to Fail</w:t>
      </w:r>
    </w:p>
    <w:p w:rsidR="00716454" w:rsidRPr="00716454" w:rsidRDefault="00716454" w:rsidP="00716454">
      <w:pPr>
        <w:spacing w:after="0"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March 5, 2015</w:t>
      </w:r>
    </w:p>
    <w:p w:rsidR="00716454" w:rsidRPr="00716454" w:rsidRDefault="00716454" w:rsidP="00716454">
      <w:pPr>
        <w:spacing w:after="0"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noProof/>
          <w:color w:val="1155CC"/>
          <w:sz w:val="24"/>
          <w:szCs w:val="24"/>
        </w:rPr>
        <w:drawing>
          <wp:inline distT="0" distB="0" distL="0" distR="0">
            <wp:extent cx="951230" cy="1179830"/>
            <wp:effectExtent l="0" t="0" r="1270" b="1270"/>
            <wp:docPr id="1" name="Picture 1">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1230" cy="1179830"/>
                    </a:xfrm>
                    <a:prstGeom prst="rect">
                      <a:avLst/>
                    </a:prstGeom>
                    <a:noFill/>
                    <a:ln>
                      <a:noFill/>
                    </a:ln>
                  </pic:spPr>
                </pic:pic>
              </a:graphicData>
            </a:graphic>
          </wp:inline>
        </w:drawing>
      </w:r>
    </w:p>
    <w:p w:rsidR="00716454" w:rsidRPr="00716454" w:rsidRDefault="00645844" w:rsidP="00716454">
      <w:pPr>
        <w:spacing w:before="100" w:beforeAutospacing="1" w:after="100" w:afterAutospacing="1" w:line="240" w:lineRule="auto"/>
        <w:outlineLvl w:val="5"/>
        <w:rPr>
          <w:rFonts w:ascii="Times New Roman" w:eastAsia="Times New Roman" w:hAnsi="Times New Roman" w:cs="Times New Roman"/>
          <w:b/>
          <w:bCs/>
          <w:sz w:val="15"/>
          <w:szCs w:val="15"/>
        </w:rPr>
      </w:pPr>
      <w:hyperlink r:id="rId21" w:tgtFrame="_blank" w:history="1">
        <w:r w:rsidR="00716454" w:rsidRPr="00716454">
          <w:rPr>
            <w:rFonts w:ascii="Times New Roman" w:eastAsia="Times New Roman" w:hAnsi="Times New Roman" w:cs="Times New Roman"/>
            <w:b/>
            <w:bCs/>
            <w:color w:val="1155CC"/>
            <w:sz w:val="15"/>
            <w:szCs w:val="15"/>
            <w:u w:val="single"/>
          </w:rPr>
          <w:t xml:space="preserve">Bryan </w:t>
        </w:r>
        <w:proofErr w:type="spellStart"/>
        <w:r w:rsidR="00716454" w:rsidRPr="00716454">
          <w:rPr>
            <w:rFonts w:ascii="Times New Roman" w:eastAsia="Times New Roman" w:hAnsi="Times New Roman" w:cs="Times New Roman"/>
            <w:b/>
            <w:bCs/>
            <w:color w:val="1155CC"/>
            <w:sz w:val="15"/>
            <w:szCs w:val="15"/>
            <w:u w:val="single"/>
          </w:rPr>
          <w:t>Oshiro</w:t>
        </w:r>
        <w:proofErr w:type="spellEnd"/>
        <w:r w:rsidR="00716454" w:rsidRPr="00716454">
          <w:rPr>
            <w:rFonts w:ascii="Times New Roman" w:eastAsia="Times New Roman" w:hAnsi="Times New Roman" w:cs="Times New Roman"/>
            <w:b/>
            <w:bCs/>
            <w:color w:val="1155CC"/>
            <w:sz w:val="15"/>
            <w:szCs w:val="15"/>
            <w:u w:val="single"/>
          </w:rPr>
          <w:t>, MD</w:t>
        </w:r>
      </w:hyperlink>
    </w:p>
    <w:p w:rsidR="00716454" w:rsidRPr="00716454" w:rsidRDefault="00716454" w:rsidP="00716454">
      <w:pPr>
        <w:spacing w:after="0" w:line="240" w:lineRule="auto"/>
        <w:rPr>
          <w:rFonts w:ascii="Times New Roman" w:eastAsia="Times New Roman" w:hAnsi="Times New Roman" w:cs="Times New Roman"/>
          <w:sz w:val="24"/>
          <w:szCs w:val="24"/>
        </w:rPr>
      </w:pPr>
    </w:p>
    <w:tbl>
      <w:tblPr>
        <w:tblW w:w="6000" w:type="dxa"/>
        <w:tblCellSpacing w:w="0" w:type="dxa"/>
        <w:tblCellMar>
          <w:left w:w="0" w:type="dxa"/>
          <w:right w:w="0" w:type="dxa"/>
        </w:tblCellMar>
        <w:tblLook w:val="04A0"/>
      </w:tblPr>
      <w:tblGrid>
        <w:gridCol w:w="6046"/>
      </w:tblGrid>
      <w:tr w:rsidR="00716454" w:rsidRPr="00716454" w:rsidTr="00716454">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16454" w:rsidRPr="00716454">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16454" w:rsidRPr="00716454">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16454" w:rsidRPr="00716454">
                          <w:trPr>
                            <w:tblCellSpacing w:w="15" w:type="dxa"/>
                          </w:trPr>
                          <w:tc>
                            <w:tcPr>
                              <w:tcW w:w="0" w:type="auto"/>
                              <w:tcMar>
                                <w:top w:w="225" w:type="dxa"/>
                                <w:left w:w="225" w:type="dxa"/>
                                <w:bottom w:w="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4"/>
                                  <w:szCs w:val="24"/>
                                </w:rPr>
                              </w:pPr>
                            </w:p>
                          </w:tc>
                          <w:tc>
                            <w:tcPr>
                              <w:tcW w:w="0" w:type="auto"/>
                              <w:tcMar>
                                <w:top w:w="225" w:type="dxa"/>
                                <w:left w:w="0" w:type="dxa"/>
                                <w:bottom w:w="0" w:type="dxa"/>
                                <w:right w:w="225"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r w:rsidR="00716454" w:rsidRPr="00716454">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16454" w:rsidRPr="00716454">
                    <w:trPr>
                      <w:tblCellSpacing w:w="0" w:type="dxa"/>
                      <w:jc w:val="center"/>
                    </w:trPr>
                    <w:tc>
                      <w:tcPr>
                        <w:tcW w:w="0" w:type="auto"/>
                        <w:shd w:val="clear" w:color="auto" w:fill="FFFFFF"/>
                        <w:tcMar>
                          <w:top w:w="240" w:type="dxa"/>
                          <w:left w:w="180" w:type="dxa"/>
                          <w:bottom w:w="24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c>
                      <w:tcPr>
                        <w:tcW w:w="5250" w:type="dxa"/>
                        <w:shd w:val="clear" w:color="auto" w:fill="FFFFFF"/>
                        <w:tcMar>
                          <w:top w:w="180" w:type="dxa"/>
                          <w:left w:w="180" w:type="dxa"/>
                          <w:bottom w:w="240" w:type="dxa"/>
                          <w:right w:w="360" w:type="dxa"/>
                        </w:tcMar>
                        <w:vAlign w:val="center"/>
                        <w:hideMark/>
                      </w:tcPr>
                      <w:p w:rsidR="00716454" w:rsidRPr="00716454" w:rsidRDefault="00716454" w:rsidP="00716454">
                        <w:pPr>
                          <w:spacing w:after="90" w:line="285" w:lineRule="atLeast"/>
                          <w:outlineLvl w:val="1"/>
                          <w:rPr>
                            <w:rFonts w:ascii="Segoe UI" w:eastAsia="Times New Roman" w:hAnsi="Segoe UI" w:cs="Segoe UI"/>
                            <w:b/>
                            <w:bCs/>
                            <w:color w:val="1D2228"/>
                            <w:sz w:val="21"/>
                            <w:szCs w:val="21"/>
                          </w:rPr>
                        </w:pPr>
                        <w:r w:rsidRPr="00716454">
                          <w:rPr>
                            <w:rFonts w:ascii="Segoe UI" w:eastAsia="Times New Roman" w:hAnsi="Segoe UI" w:cs="Segoe UI"/>
                            <w:b/>
                            <w:bCs/>
                            <w:color w:val="1D2228"/>
                            <w:sz w:val="21"/>
                            <w:szCs w:val="21"/>
                          </w:rPr>
                          <w:t xml:space="preserve">Bryan </w:t>
                        </w:r>
                        <w:proofErr w:type="spellStart"/>
                        <w:r w:rsidRPr="00716454">
                          <w:rPr>
                            <w:rFonts w:ascii="Segoe UI" w:eastAsia="Times New Roman" w:hAnsi="Segoe UI" w:cs="Segoe UI"/>
                            <w:b/>
                            <w:bCs/>
                            <w:color w:val="1D2228"/>
                            <w:sz w:val="21"/>
                            <w:szCs w:val="21"/>
                          </w:rPr>
                          <w:t>Oshiro</w:t>
                        </w:r>
                        <w:proofErr w:type="spellEnd"/>
                        <w:r w:rsidRPr="00716454">
                          <w:rPr>
                            <w:rFonts w:ascii="Segoe UI" w:eastAsia="Times New Roman" w:hAnsi="Segoe UI" w:cs="Segoe UI"/>
                            <w:b/>
                            <w:bCs/>
                            <w:color w:val="1D2228"/>
                            <w:sz w:val="21"/>
                            <w:szCs w:val="21"/>
                          </w:rPr>
                          <w:t>, MD - Health Catalyst</w:t>
                        </w: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healthcare industry is riddled with administrative and regulatory complexities that make it difficult for health systems to achieve the </w:t>
      </w:r>
      <w:hyperlink r:id="rId22" w:tgtFrame="_blank" w:history="1">
        <w:r w:rsidRPr="00716454">
          <w:rPr>
            <w:rFonts w:ascii="Times New Roman" w:eastAsia="Times New Roman" w:hAnsi="Times New Roman" w:cs="Times New Roman"/>
            <w:color w:val="1155CC"/>
            <w:sz w:val="24"/>
            <w:szCs w:val="24"/>
            <w:u w:val="single"/>
          </w:rPr>
          <w:t>Triple–or better yet, the Quadruple–Aim of healthcare</w:t>
        </w:r>
      </w:hyperlink>
      <w:r w:rsidRPr="00716454">
        <w:rPr>
          <w:rFonts w:ascii="Times New Roman" w:eastAsia="Times New Roman" w:hAnsi="Times New Roman" w:cs="Times New Roman"/>
          <w:sz w:val="24"/>
          <w:szCs w:val="24"/>
        </w:rPr>
        <w:t>. The complexities found in outcomes improvement are particularly challenging, as health systems measure and report on hundreds of these outcomes annually. Health systems can manage these complexities by taking a closer look at outcome measures—understanding their definitions and nuances, reviewing real-world examples, and integrating three essentials for successful outcomes measurement.</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Why Measuring Healthcare Outcomes Is Important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goal of measuring, reporting, and comparing healthcare outcomes is to achieve </w:t>
      </w:r>
      <w:hyperlink r:id="rId23" w:tgtFrame="_blank" w:history="1">
        <w:r w:rsidRPr="00716454">
          <w:rPr>
            <w:rFonts w:ascii="Times New Roman" w:eastAsia="Times New Roman" w:hAnsi="Times New Roman" w:cs="Times New Roman"/>
            <w:color w:val="1155CC"/>
            <w:sz w:val="24"/>
            <w:szCs w:val="24"/>
            <w:u w:val="single"/>
          </w:rPr>
          <w:t>the Quadruple Aim of healthcare</w:t>
        </w:r>
      </w:hyperlink>
      <w:r w:rsidRPr="00716454">
        <w:rPr>
          <w:rFonts w:ascii="Times New Roman" w:eastAsia="Times New Roman" w:hAnsi="Times New Roman" w:cs="Times New Roman"/>
          <w:sz w:val="24"/>
          <w:szCs w:val="24"/>
        </w:rPr>
        <w:t>:</w:t>
      </w:r>
    </w:p>
    <w:p w:rsidR="00716454" w:rsidRPr="00716454" w:rsidRDefault="00716454" w:rsidP="00716454">
      <w:pPr>
        <w:numPr>
          <w:ilvl w:val="0"/>
          <w:numId w:val="4"/>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Improve the patient experience of care.</w:t>
      </w:r>
    </w:p>
    <w:p w:rsidR="00716454" w:rsidRPr="00716454" w:rsidRDefault="00716454" w:rsidP="00716454">
      <w:pPr>
        <w:numPr>
          <w:ilvl w:val="0"/>
          <w:numId w:val="4"/>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lastRenderedPageBreak/>
        <w:t>Improve the health of populations.</w:t>
      </w:r>
    </w:p>
    <w:p w:rsidR="00716454" w:rsidRPr="00716454" w:rsidRDefault="00716454" w:rsidP="00716454">
      <w:pPr>
        <w:numPr>
          <w:ilvl w:val="0"/>
          <w:numId w:val="4"/>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Reduce the per capita cost of healthcare.</w:t>
      </w:r>
    </w:p>
    <w:p w:rsidR="00716454" w:rsidRPr="00716454" w:rsidRDefault="00716454" w:rsidP="00716454">
      <w:pPr>
        <w:numPr>
          <w:ilvl w:val="0"/>
          <w:numId w:val="4"/>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Reduce clinician and staff burnout.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organization behind the Triple Aim—</w:t>
      </w:r>
      <w:hyperlink r:id="rId24" w:tgtFrame="_blank" w:history="1">
        <w:r w:rsidRPr="00716454">
          <w:rPr>
            <w:rFonts w:ascii="Times New Roman" w:eastAsia="Times New Roman" w:hAnsi="Times New Roman" w:cs="Times New Roman"/>
            <w:color w:val="1155CC"/>
            <w:sz w:val="24"/>
            <w:szCs w:val="24"/>
            <w:u w:val="single"/>
          </w:rPr>
          <w:t>the Institute for Healthcare Improvement (IHI)</w:t>
        </w:r>
      </w:hyperlink>
      <w:r w:rsidRPr="00716454">
        <w:rPr>
          <w:rFonts w:ascii="Times New Roman" w:eastAsia="Times New Roman" w:hAnsi="Times New Roman" w:cs="Times New Roman"/>
          <w:sz w:val="24"/>
          <w:szCs w:val="24"/>
        </w:rPr>
        <w:t>—is dedicated to outcomes improvement. IHI describes measurement as “a critical part of testing and implementing changes. Measures tell a team whether the changes they are making actually lead to improvement.” The fourth aim may vary depending on the organization.</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Healthcare organizations–motivated by the Quadruple Aim–measure outcomes for several reasons:</w:t>
      </w:r>
    </w:p>
    <w:p w:rsidR="00716454" w:rsidRPr="00716454" w:rsidRDefault="00716454" w:rsidP="00716454">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Reveal areas in which interventions could improve care.</w:t>
      </w:r>
    </w:p>
    <w:p w:rsidR="00716454" w:rsidRPr="00716454" w:rsidRDefault="00716454" w:rsidP="00716454">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Identify variations of care.</w:t>
      </w:r>
    </w:p>
    <w:p w:rsidR="00716454" w:rsidRPr="00716454" w:rsidRDefault="00716454" w:rsidP="00716454">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Provide evidence about interventions that work best for certain types of patients under certain circumstances.</w:t>
      </w:r>
    </w:p>
    <w:p w:rsidR="00716454" w:rsidRPr="00716454" w:rsidRDefault="00716454" w:rsidP="00716454">
      <w:pPr>
        <w:numPr>
          <w:ilvl w:val="0"/>
          <w:numId w:val="5"/>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Compare the effectiveness of various treatments and procedures.</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Outcome Measures Defined</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w:t>
      </w:r>
      <w:hyperlink r:id="rId25" w:tgtFrame="_blank" w:history="1">
        <w:r w:rsidRPr="00716454">
          <w:rPr>
            <w:rFonts w:ascii="Times New Roman" w:eastAsia="Times New Roman" w:hAnsi="Times New Roman" w:cs="Times New Roman"/>
            <w:color w:val="1155CC"/>
            <w:sz w:val="24"/>
            <w:szCs w:val="24"/>
            <w:u w:val="single"/>
          </w:rPr>
          <w:t>World Health Organization</w:t>
        </w:r>
      </w:hyperlink>
      <w:r w:rsidRPr="00716454">
        <w:rPr>
          <w:rFonts w:ascii="Times New Roman" w:eastAsia="Times New Roman" w:hAnsi="Times New Roman" w:cs="Times New Roman"/>
          <w:sz w:val="24"/>
          <w:szCs w:val="24"/>
        </w:rPr>
        <w:t> defines an outcome measure as a “change in the health of an individual, group of people, or population that is attributable to an intervention or series of interventions.” Outcome measures (mortality, readmission, patient experience, etc.) are the quality and cost targets healthcare organizations are trying to improve.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Outcome measures are frequently reported to the government, commercial payers, and organizations that report on quality, such as </w:t>
      </w:r>
      <w:hyperlink r:id="rId26" w:tgtFrame="_blank" w:history="1">
        <w:r w:rsidRPr="00716454">
          <w:rPr>
            <w:rFonts w:ascii="Times New Roman" w:eastAsia="Times New Roman" w:hAnsi="Times New Roman" w:cs="Times New Roman"/>
            <w:color w:val="1155CC"/>
            <w:sz w:val="24"/>
            <w:szCs w:val="24"/>
            <w:u w:val="single"/>
          </w:rPr>
          <w:t xml:space="preserve">The </w:t>
        </w:r>
        <w:proofErr w:type="spellStart"/>
        <w:r w:rsidRPr="00716454">
          <w:rPr>
            <w:rFonts w:ascii="Times New Roman" w:eastAsia="Times New Roman" w:hAnsi="Times New Roman" w:cs="Times New Roman"/>
            <w:color w:val="1155CC"/>
            <w:sz w:val="24"/>
            <w:szCs w:val="24"/>
            <w:u w:val="single"/>
          </w:rPr>
          <w:t>LeapFrog</w:t>
        </w:r>
        <w:proofErr w:type="spellEnd"/>
        <w:r w:rsidRPr="00716454">
          <w:rPr>
            <w:rFonts w:ascii="Times New Roman" w:eastAsia="Times New Roman" w:hAnsi="Times New Roman" w:cs="Times New Roman"/>
            <w:color w:val="1155CC"/>
            <w:sz w:val="24"/>
            <w:szCs w:val="24"/>
            <w:u w:val="single"/>
          </w:rPr>
          <w:t xml:space="preserve"> Group</w:t>
        </w:r>
      </w:hyperlink>
      <w:r w:rsidRPr="00716454">
        <w:rPr>
          <w:rFonts w:ascii="Times New Roman" w:eastAsia="Times New Roman" w:hAnsi="Times New Roman" w:cs="Times New Roman"/>
          <w:sz w:val="24"/>
          <w:szCs w:val="24"/>
        </w:rPr>
        <w:t xml:space="preserve">—a national nonprofit that evaluates and reports U.S. hospital safety and quality performance. </w:t>
      </w:r>
      <w:proofErr w:type="spellStart"/>
      <w:r w:rsidRPr="00716454">
        <w:rPr>
          <w:rFonts w:ascii="Times New Roman" w:eastAsia="Times New Roman" w:hAnsi="Times New Roman" w:cs="Times New Roman"/>
          <w:sz w:val="24"/>
          <w:szCs w:val="24"/>
        </w:rPr>
        <w:t>LeapFrog’s</w:t>
      </w:r>
      <w:proofErr w:type="spellEnd"/>
      <w:r w:rsidRPr="00716454">
        <w:rPr>
          <w:rFonts w:ascii="Times New Roman" w:eastAsia="Times New Roman" w:hAnsi="Times New Roman" w:cs="Times New Roman"/>
          <w:sz w:val="24"/>
          <w:szCs w:val="24"/>
        </w:rPr>
        <w:t xml:space="preserve"> work centers on “increasing transparency among health care providers in order to reduce the estimated </w:t>
      </w:r>
      <w:hyperlink r:id="rId27" w:tgtFrame="_blank" w:history="1">
        <w:r w:rsidRPr="00716454">
          <w:rPr>
            <w:rFonts w:ascii="Times New Roman" w:eastAsia="Times New Roman" w:hAnsi="Times New Roman" w:cs="Times New Roman"/>
            <w:color w:val="1155CC"/>
            <w:sz w:val="24"/>
            <w:szCs w:val="24"/>
            <w:u w:val="single"/>
          </w:rPr>
          <w:t>440,000 annual deaths from hospital errors, accidents, and injuries</w:t>
        </w:r>
      </w:hyperlink>
      <w:r w:rsidRPr="00716454">
        <w:rPr>
          <w:rFonts w:ascii="Times New Roman" w:eastAsia="Times New Roman" w:hAnsi="Times New Roman" w:cs="Times New Roman"/>
          <w:sz w:val="24"/>
          <w:szCs w:val="24"/>
        </w:rPr>
        <w:t>.” While initial measures focused on inpatient care, they have since expanded to include most aspects of care delivery.</w:t>
      </w:r>
    </w:p>
    <w:p w:rsidR="00716454" w:rsidRPr="00716454" w:rsidRDefault="00716454" w:rsidP="00716454">
      <w:pPr>
        <w:spacing w:after="0" w:line="240" w:lineRule="auto"/>
        <w:rPr>
          <w:rFonts w:ascii="Times New Roman" w:eastAsia="Times New Roman" w:hAnsi="Times New Roman" w:cs="Times New Roman"/>
          <w:sz w:val="24"/>
          <w:szCs w:val="24"/>
        </w:rPr>
      </w:pPr>
    </w:p>
    <w:tbl>
      <w:tblPr>
        <w:tblW w:w="6000" w:type="dxa"/>
        <w:tblCellSpacing w:w="0" w:type="dxa"/>
        <w:tblCellMar>
          <w:left w:w="0" w:type="dxa"/>
          <w:right w:w="0" w:type="dxa"/>
        </w:tblCellMar>
        <w:tblLook w:val="04A0"/>
      </w:tblPr>
      <w:tblGrid>
        <w:gridCol w:w="6046"/>
      </w:tblGrid>
      <w:tr w:rsidR="00716454" w:rsidRPr="00716454" w:rsidTr="00716454">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16454" w:rsidRPr="00716454">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16454" w:rsidRPr="00716454">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16454" w:rsidRPr="00716454">
                          <w:trPr>
                            <w:tblCellSpacing w:w="15" w:type="dxa"/>
                          </w:trPr>
                          <w:tc>
                            <w:tcPr>
                              <w:tcW w:w="0" w:type="auto"/>
                              <w:tcMar>
                                <w:top w:w="225" w:type="dxa"/>
                                <w:left w:w="225" w:type="dxa"/>
                                <w:bottom w:w="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4"/>
                                  <w:szCs w:val="24"/>
                                </w:rPr>
                              </w:pPr>
                            </w:p>
                          </w:tc>
                          <w:tc>
                            <w:tcPr>
                              <w:tcW w:w="0" w:type="auto"/>
                              <w:tcMar>
                                <w:top w:w="225" w:type="dxa"/>
                                <w:left w:w="0" w:type="dxa"/>
                                <w:bottom w:w="0" w:type="dxa"/>
                                <w:right w:w="225"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r w:rsidR="00716454" w:rsidRPr="00716454">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16454" w:rsidRPr="00716454">
                    <w:trPr>
                      <w:tblCellSpacing w:w="0" w:type="dxa"/>
                      <w:jc w:val="center"/>
                    </w:trPr>
                    <w:tc>
                      <w:tcPr>
                        <w:tcW w:w="0" w:type="auto"/>
                        <w:shd w:val="clear" w:color="auto" w:fill="FFFFFF"/>
                        <w:tcMar>
                          <w:top w:w="240" w:type="dxa"/>
                          <w:left w:w="180" w:type="dxa"/>
                          <w:bottom w:w="24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c>
                      <w:tcPr>
                        <w:tcW w:w="5250" w:type="dxa"/>
                        <w:shd w:val="clear" w:color="auto" w:fill="FFFFFF"/>
                        <w:tcMar>
                          <w:top w:w="180" w:type="dxa"/>
                          <w:left w:w="180" w:type="dxa"/>
                          <w:bottom w:w="240" w:type="dxa"/>
                          <w:right w:w="360" w:type="dxa"/>
                        </w:tcMar>
                        <w:vAlign w:val="center"/>
                        <w:hideMark/>
                      </w:tcPr>
                      <w:p w:rsidR="00716454" w:rsidRPr="00716454" w:rsidRDefault="00716454" w:rsidP="00716454">
                        <w:pPr>
                          <w:spacing w:after="90" w:line="285" w:lineRule="atLeast"/>
                          <w:outlineLvl w:val="1"/>
                          <w:rPr>
                            <w:rFonts w:ascii="Segoe UI" w:eastAsia="Times New Roman" w:hAnsi="Segoe UI" w:cs="Segoe UI"/>
                            <w:b/>
                            <w:bCs/>
                            <w:color w:val="1D2228"/>
                            <w:sz w:val="21"/>
                            <w:szCs w:val="21"/>
                          </w:rPr>
                        </w:pPr>
                        <w:r w:rsidRPr="00716454">
                          <w:rPr>
                            <w:rFonts w:ascii="Segoe UI" w:eastAsia="Times New Roman" w:hAnsi="Segoe UI" w:cs="Segoe UI"/>
                            <w:b/>
                            <w:bCs/>
                            <w:color w:val="1D2228"/>
                            <w:sz w:val="21"/>
                            <w:szCs w:val="21"/>
                          </w:rPr>
                          <w:t>Errors, Injuries, Accidents, Infections</w:t>
                        </w: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lastRenderedPageBreak/>
        <w:t>Outcome Measures Are Driven by National Standards and Financial Incentives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Outcome measures are primarily defined and prioritized by national organizations, including </w:t>
      </w:r>
      <w:hyperlink r:id="rId28" w:tgtFrame="_blank" w:history="1">
        <w:r w:rsidRPr="00716454">
          <w:rPr>
            <w:rFonts w:ascii="Times New Roman" w:eastAsia="Times New Roman" w:hAnsi="Times New Roman" w:cs="Times New Roman"/>
            <w:color w:val="1155CC"/>
            <w:sz w:val="24"/>
            <w:szCs w:val="24"/>
            <w:u w:val="single"/>
          </w:rPr>
          <w:t>CMS</w:t>
        </w:r>
      </w:hyperlink>
      <w:r w:rsidRPr="00716454">
        <w:rPr>
          <w:rFonts w:ascii="Times New Roman" w:eastAsia="Times New Roman" w:hAnsi="Times New Roman" w:cs="Times New Roman"/>
          <w:sz w:val="24"/>
          <w:szCs w:val="24"/>
        </w:rPr>
        <w:t>, </w:t>
      </w:r>
      <w:hyperlink r:id="rId29" w:tgtFrame="_blank" w:history="1">
        <w:r w:rsidRPr="00716454">
          <w:rPr>
            <w:rFonts w:ascii="Times New Roman" w:eastAsia="Times New Roman" w:hAnsi="Times New Roman" w:cs="Times New Roman"/>
            <w:color w:val="1155CC"/>
            <w:sz w:val="24"/>
            <w:szCs w:val="24"/>
            <w:u w:val="single"/>
          </w:rPr>
          <w:t>The Joint Commission</w:t>
        </w:r>
      </w:hyperlink>
      <w:r w:rsidRPr="00716454">
        <w:rPr>
          <w:rFonts w:ascii="Times New Roman" w:eastAsia="Times New Roman" w:hAnsi="Times New Roman" w:cs="Times New Roman"/>
          <w:sz w:val="24"/>
          <w:szCs w:val="24"/>
        </w:rPr>
        <w:t>, and the </w:t>
      </w:r>
      <w:hyperlink r:id="rId30" w:tgtFrame="_blank" w:history="1">
        <w:r w:rsidRPr="00716454">
          <w:rPr>
            <w:rFonts w:ascii="Times New Roman" w:eastAsia="Times New Roman" w:hAnsi="Times New Roman" w:cs="Times New Roman"/>
            <w:color w:val="1155CC"/>
            <w:sz w:val="24"/>
            <w:szCs w:val="24"/>
            <w:u w:val="single"/>
          </w:rPr>
          <w:t>National Association for Healthcare Quality (NAHQ)</w:t>
        </w:r>
      </w:hyperlink>
      <w:r w:rsidRPr="00716454">
        <w:rPr>
          <w:rFonts w:ascii="Times New Roman" w:eastAsia="Times New Roman" w:hAnsi="Times New Roman" w:cs="Times New Roman"/>
          <w:sz w:val="24"/>
          <w:szCs w:val="24"/>
        </w:rPr>
        <w:t>. Health systems target outcome measures based on state and federal government mandates, accreditation requirements, and financial incentives.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Although healthcare outcomes and targets are defined at the national level, health systems might set more aggressive targets. Meeting and exceeding these national targets, benefits not only quality of care, but also healthcare organizations’ marketing and contracting efforts.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Reporting and accreditation entities have processes in place to normalize outcomes data to account for context, which is </w:t>
      </w:r>
      <w:proofErr w:type="gramStart"/>
      <w:r w:rsidRPr="00716454">
        <w:rPr>
          <w:rFonts w:ascii="Times New Roman" w:eastAsia="Times New Roman" w:hAnsi="Times New Roman" w:cs="Times New Roman"/>
          <w:sz w:val="24"/>
          <w:szCs w:val="24"/>
        </w:rPr>
        <w:t>key</w:t>
      </w:r>
      <w:proofErr w:type="gramEnd"/>
      <w:r w:rsidRPr="00716454">
        <w:rPr>
          <w:rFonts w:ascii="Times New Roman" w:eastAsia="Times New Roman" w:hAnsi="Times New Roman" w:cs="Times New Roman"/>
          <w:sz w:val="24"/>
          <w:szCs w:val="24"/>
        </w:rPr>
        <w:t xml:space="preserve"> when it comes to reporting. It’s easy to take data out of context. Using fall rates as an example, if a small, 10-bed hospital sees 10 patients in one month and one patient falls, then their fall rate is high (10 percent).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Joint Commission is a regulatory body that accredits health systems and has national standards for quality measures that are “developed with input from healthcare professionals, providers, subject matter experts, consumers, government agencies (including CMS) and employers.” New standards must meet the following strict requirements:</w:t>
      </w:r>
    </w:p>
    <w:p w:rsidR="00716454" w:rsidRPr="00716454" w:rsidRDefault="00716454" w:rsidP="00716454">
      <w:pPr>
        <w:numPr>
          <w:ilvl w:val="0"/>
          <w:numId w:val="6"/>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Relate to </w:t>
      </w:r>
      <w:hyperlink r:id="rId31" w:tgtFrame="_blank" w:history="1">
        <w:r w:rsidRPr="00716454">
          <w:rPr>
            <w:rFonts w:ascii="Times New Roman" w:eastAsia="Times New Roman" w:hAnsi="Times New Roman" w:cs="Times New Roman"/>
            <w:color w:val="1155CC"/>
            <w:sz w:val="24"/>
            <w:szCs w:val="24"/>
            <w:u w:val="single"/>
          </w:rPr>
          <w:t>patient safety</w:t>
        </w:r>
      </w:hyperlink>
      <w:r w:rsidRPr="00716454">
        <w:rPr>
          <w:rFonts w:ascii="Times New Roman" w:eastAsia="Times New Roman" w:hAnsi="Times New Roman" w:cs="Times New Roman"/>
          <w:sz w:val="24"/>
          <w:szCs w:val="24"/>
        </w:rPr>
        <w:t> or quality of care.</w:t>
      </w:r>
    </w:p>
    <w:p w:rsidR="00716454" w:rsidRPr="00716454" w:rsidRDefault="00716454" w:rsidP="00716454">
      <w:pPr>
        <w:numPr>
          <w:ilvl w:val="0"/>
          <w:numId w:val="6"/>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Positively impact healthcare outcomes.</w:t>
      </w:r>
    </w:p>
    <w:p w:rsidR="00716454" w:rsidRPr="00716454" w:rsidRDefault="00716454" w:rsidP="00716454">
      <w:pPr>
        <w:numPr>
          <w:ilvl w:val="0"/>
          <w:numId w:val="6"/>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Meet or surpass law and regulation.</w:t>
      </w:r>
    </w:p>
    <w:p w:rsidR="00716454" w:rsidRPr="00716454" w:rsidRDefault="00716454" w:rsidP="00716454">
      <w:pPr>
        <w:numPr>
          <w:ilvl w:val="0"/>
          <w:numId w:val="6"/>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Can be accurately and readily measured.</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CMS uses outcome measures to calculate overall hospital quality. In a 2018 report, </w:t>
      </w:r>
      <w:hyperlink r:id="rId32" w:tgtFrame="_blank" w:history="1">
        <w:r w:rsidRPr="00716454">
          <w:rPr>
            <w:rFonts w:ascii="Times New Roman" w:eastAsia="Times New Roman" w:hAnsi="Times New Roman" w:cs="Times New Roman"/>
            <w:color w:val="1155CC"/>
            <w:sz w:val="24"/>
            <w:szCs w:val="24"/>
            <w:u w:val="single"/>
          </w:rPr>
          <w:t>CMS explained how it arrived at its 2018 hospital star ratings</w:t>
        </w:r>
      </w:hyperlink>
      <w:r w:rsidRPr="00716454">
        <w:rPr>
          <w:rFonts w:ascii="Times New Roman" w:eastAsia="Times New Roman" w:hAnsi="Times New Roman" w:cs="Times New Roman"/>
          <w:sz w:val="24"/>
          <w:szCs w:val="24"/>
        </w:rPr>
        <w:t>. CMS grouped outcome measures into seven categories weighted by importance:</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Mortality (22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Safety of care (22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Readmissions (22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Patient experience (22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Effectiveness of care (4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Timeliness of care (4 percent)</w:t>
      </w:r>
    </w:p>
    <w:p w:rsidR="00716454" w:rsidRPr="00716454" w:rsidRDefault="00716454" w:rsidP="00716454">
      <w:pPr>
        <w:numPr>
          <w:ilvl w:val="0"/>
          <w:numId w:val="7"/>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Efficient use of medical imaging (4 percent)</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The Top Seven Healthcare Outcome Measures Explained</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There are hundreds of outcome measures, ranging from changes in blood pressure in patients with hypertension to </w:t>
      </w:r>
      <w:hyperlink r:id="rId33" w:tgtFrame="_blank" w:history="1">
        <w:r w:rsidRPr="00716454">
          <w:rPr>
            <w:rFonts w:ascii="Times New Roman" w:eastAsia="Times New Roman" w:hAnsi="Times New Roman" w:cs="Times New Roman"/>
            <w:color w:val="1155CC"/>
            <w:sz w:val="24"/>
            <w:szCs w:val="24"/>
            <w:u w:val="single"/>
          </w:rPr>
          <w:t>patient-reported outcome measures (PROMs)</w:t>
        </w:r>
      </w:hyperlink>
      <w:r w:rsidRPr="00716454">
        <w:rPr>
          <w:rFonts w:ascii="Times New Roman" w:eastAsia="Times New Roman" w:hAnsi="Times New Roman" w:cs="Times New Roman"/>
          <w:sz w:val="24"/>
          <w:szCs w:val="24"/>
        </w:rPr>
        <w:t>. The seven groupings of outcome measures CMS uses to calculate hospital quality are some of the most common in healthcare:</w:t>
      </w:r>
    </w:p>
    <w:p w:rsidR="00716454" w:rsidRPr="00716454" w:rsidRDefault="00716454" w:rsidP="00716454">
      <w:pPr>
        <w:spacing w:after="0" w:line="240" w:lineRule="auto"/>
        <w:rPr>
          <w:rFonts w:ascii="Times New Roman" w:eastAsia="Times New Roman" w:hAnsi="Times New Roman" w:cs="Times New Roman"/>
          <w:sz w:val="24"/>
          <w:szCs w:val="24"/>
        </w:rPr>
      </w:pPr>
    </w:p>
    <w:tbl>
      <w:tblPr>
        <w:tblW w:w="6000" w:type="dxa"/>
        <w:tblCellSpacing w:w="0" w:type="dxa"/>
        <w:tblCellMar>
          <w:left w:w="0" w:type="dxa"/>
          <w:right w:w="0" w:type="dxa"/>
        </w:tblCellMar>
        <w:tblLook w:val="04A0"/>
      </w:tblPr>
      <w:tblGrid>
        <w:gridCol w:w="6046"/>
      </w:tblGrid>
      <w:tr w:rsidR="00716454" w:rsidRPr="00716454" w:rsidTr="00716454">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16454" w:rsidRPr="00716454">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16454" w:rsidRPr="00716454">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16454" w:rsidRPr="00716454">
                          <w:trPr>
                            <w:tblCellSpacing w:w="15" w:type="dxa"/>
                          </w:trPr>
                          <w:tc>
                            <w:tcPr>
                              <w:tcW w:w="0" w:type="auto"/>
                              <w:tcMar>
                                <w:top w:w="225" w:type="dxa"/>
                                <w:left w:w="225" w:type="dxa"/>
                                <w:bottom w:w="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4"/>
                                  <w:szCs w:val="24"/>
                                </w:rPr>
                              </w:pPr>
                            </w:p>
                          </w:tc>
                          <w:tc>
                            <w:tcPr>
                              <w:tcW w:w="0" w:type="auto"/>
                              <w:tcMar>
                                <w:top w:w="225" w:type="dxa"/>
                                <w:left w:w="0" w:type="dxa"/>
                                <w:bottom w:w="0" w:type="dxa"/>
                                <w:right w:w="225"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r w:rsidR="00716454" w:rsidRPr="00716454">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16454" w:rsidRPr="00716454">
                    <w:trPr>
                      <w:tblCellSpacing w:w="0" w:type="dxa"/>
                      <w:jc w:val="center"/>
                    </w:trPr>
                    <w:tc>
                      <w:tcPr>
                        <w:tcW w:w="0" w:type="auto"/>
                        <w:shd w:val="clear" w:color="auto" w:fill="FFFFFF"/>
                        <w:tcMar>
                          <w:top w:w="240" w:type="dxa"/>
                          <w:left w:w="180" w:type="dxa"/>
                          <w:bottom w:w="24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c>
                      <w:tcPr>
                        <w:tcW w:w="5250" w:type="dxa"/>
                        <w:shd w:val="clear" w:color="auto" w:fill="FFFFFF"/>
                        <w:tcMar>
                          <w:top w:w="180" w:type="dxa"/>
                          <w:left w:w="180" w:type="dxa"/>
                          <w:bottom w:w="240" w:type="dxa"/>
                          <w:right w:w="360" w:type="dxa"/>
                        </w:tcMar>
                        <w:vAlign w:val="center"/>
                        <w:hideMark/>
                      </w:tcPr>
                      <w:p w:rsidR="00716454" w:rsidRPr="00716454" w:rsidRDefault="00716454" w:rsidP="00716454">
                        <w:pPr>
                          <w:spacing w:after="90" w:line="285" w:lineRule="atLeast"/>
                          <w:outlineLvl w:val="1"/>
                          <w:rPr>
                            <w:rFonts w:ascii="Segoe UI" w:eastAsia="Times New Roman" w:hAnsi="Segoe UI" w:cs="Segoe UI"/>
                            <w:b/>
                            <w:bCs/>
                            <w:color w:val="1D2228"/>
                            <w:sz w:val="21"/>
                            <w:szCs w:val="21"/>
                          </w:rPr>
                        </w:pPr>
                        <w:r w:rsidRPr="00716454">
                          <w:rPr>
                            <w:rFonts w:ascii="Segoe UI" w:eastAsia="Times New Roman" w:hAnsi="Segoe UI" w:cs="Segoe UI"/>
                            <w:b/>
                            <w:bCs/>
                            <w:color w:val="1D2228"/>
                            <w:sz w:val="21"/>
                            <w:szCs w:val="21"/>
                          </w:rPr>
                          <w:t>The Top 7 Healthcare Outcomes Measures</w:t>
                        </w:r>
                      </w:p>
                      <w:p w:rsidR="00716454" w:rsidRPr="00716454" w:rsidRDefault="00716454" w:rsidP="00716454">
                        <w:pPr>
                          <w:spacing w:after="0" w:line="240" w:lineRule="atLeast"/>
                          <w:rPr>
                            <w:rFonts w:ascii="Segoe UI" w:eastAsia="Times New Roman" w:hAnsi="Segoe UI" w:cs="Segoe UI"/>
                            <w:color w:val="979EA8"/>
                            <w:sz w:val="18"/>
                            <w:szCs w:val="18"/>
                          </w:rPr>
                        </w:pPr>
                        <w:r w:rsidRPr="00716454">
                          <w:rPr>
                            <w:rFonts w:ascii="Segoe UI" w:eastAsia="Times New Roman" w:hAnsi="Segoe UI" w:cs="Segoe UI"/>
                            <w:color w:val="979EA8"/>
                            <w:sz w:val="18"/>
                            <w:szCs w:val="18"/>
                          </w:rPr>
                          <w:t>Confused about the top healthcare outcomes measures? Cut through the administrative and regulatory complexities ...</w:t>
                        </w: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1: Mortality</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Mortality is an essential population health outcome measure. For example, </w:t>
      </w:r>
      <w:hyperlink r:id="rId34" w:tgtFrame="_blank" w:history="1">
        <w:r w:rsidRPr="00716454">
          <w:rPr>
            <w:rFonts w:ascii="Times New Roman" w:eastAsia="Times New Roman" w:hAnsi="Times New Roman" w:cs="Times New Roman"/>
            <w:color w:val="1155CC"/>
            <w:sz w:val="24"/>
            <w:szCs w:val="24"/>
            <w:u w:val="single"/>
          </w:rPr>
          <w:t>Piedmont Healthcare’s evidence-based care standardization</w:t>
        </w:r>
      </w:hyperlink>
      <w:r w:rsidRPr="00716454">
        <w:rPr>
          <w:rFonts w:ascii="Times New Roman" w:eastAsia="Times New Roman" w:hAnsi="Times New Roman" w:cs="Times New Roman"/>
          <w:sz w:val="24"/>
          <w:szCs w:val="24"/>
        </w:rPr>
        <w:t xml:space="preserve"> for pneumonia </w:t>
      </w:r>
      <w:proofErr w:type="gramStart"/>
      <w:r w:rsidRPr="00716454">
        <w:rPr>
          <w:rFonts w:ascii="Times New Roman" w:eastAsia="Times New Roman" w:hAnsi="Times New Roman" w:cs="Times New Roman"/>
          <w:sz w:val="24"/>
          <w:szCs w:val="24"/>
        </w:rPr>
        <w:t>patients,</w:t>
      </w:r>
      <w:proofErr w:type="gramEnd"/>
      <w:r w:rsidRPr="00716454">
        <w:rPr>
          <w:rFonts w:ascii="Times New Roman" w:eastAsia="Times New Roman" w:hAnsi="Times New Roman" w:cs="Times New Roman"/>
          <w:sz w:val="24"/>
          <w:szCs w:val="24"/>
        </w:rPr>
        <w:t xml:space="preserve"> resulted in a 56.5 percent relative reduction in the pneumonia mortality rate.</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#2: Safety of Care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proofErr w:type="gramStart"/>
      <w:r w:rsidRPr="00716454">
        <w:rPr>
          <w:rFonts w:ascii="Times New Roman" w:eastAsia="Times New Roman" w:hAnsi="Times New Roman" w:cs="Times New Roman"/>
          <w:sz w:val="24"/>
          <w:szCs w:val="24"/>
        </w:rPr>
        <w:t>Safety of care outcome measures pertain</w:t>
      </w:r>
      <w:proofErr w:type="gramEnd"/>
      <w:r w:rsidRPr="00716454">
        <w:rPr>
          <w:rFonts w:ascii="Times New Roman" w:eastAsia="Times New Roman" w:hAnsi="Times New Roman" w:cs="Times New Roman"/>
          <w:sz w:val="24"/>
          <w:szCs w:val="24"/>
        </w:rPr>
        <w:t xml:space="preserve"> to medical mistakes. Skin breakdown and hospital-acquired infections (HAIs) are common safety of care outcome measures:</w:t>
      </w:r>
    </w:p>
    <w:p w:rsidR="00716454" w:rsidRPr="00716454" w:rsidRDefault="00716454" w:rsidP="00716454">
      <w:pPr>
        <w:numPr>
          <w:ilvl w:val="0"/>
          <w:numId w:val="8"/>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Skin breakdown—happens when pressure decreases blood flow to the skin. A skin assessment tool can be used to reduce skin breakdown. Patients with skin breakdown are at a higher risk of infection. Patients’ risk scores go up if they’re diabetic, for example, because their circulation is poor.</w:t>
      </w:r>
    </w:p>
    <w:p w:rsidR="00716454" w:rsidRPr="00716454" w:rsidRDefault="00716454" w:rsidP="00716454">
      <w:pPr>
        <w:numPr>
          <w:ilvl w:val="0"/>
          <w:numId w:val="8"/>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HAIs—caused by viral, bacterial, and fungal pathogens. For example, </w:t>
      </w:r>
      <w:hyperlink r:id="rId35" w:tgtFrame="_blank" w:history="1">
        <w:r w:rsidRPr="00716454">
          <w:rPr>
            <w:rFonts w:ascii="Times New Roman" w:eastAsia="Times New Roman" w:hAnsi="Times New Roman" w:cs="Times New Roman"/>
            <w:color w:val="1155CC"/>
            <w:sz w:val="24"/>
            <w:szCs w:val="24"/>
            <w:u w:val="single"/>
          </w:rPr>
          <w:t>Texas Children’s Hospital</w:t>
        </w:r>
      </w:hyperlink>
      <w:r w:rsidRPr="00716454">
        <w:rPr>
          <w:rFonts w:ascii="Times New Roman" w:eastAsia="Times New Roman" w:hAnsi="Times New Roman" w:cs="Times New Roman"/>
          <w:sz w:val="24"/>
          <w:szCs w:val="24"/>
        </w:rPr>
        <w:t> identified evidence-based bundles to reduce HAIs in children through their partnership with the Solutions for Patient Safety National Children’s Network. Using an </w:t>
      </w:r>
      <w:hyperlink r:id="rId36" w:tgtFrame="_blank" w:history="1">
        <w:r w:rsidRPr="00716454">
          <w:rPr>
            <w:rFonts w:ascii="Times New Roman" w:eastAsia="Times New Roman" w:hAnsi="Times New Roman" w:cs="Times New Roman"/>
            <w:color w:val="1155CC"/>
            <w:sz w:val="24"/>
            <w:szCs w:val="24"/>
            <w:u w:val="single"/>
          </w:rPr>
          <w:t>enterprise data warehouse</w:t>
        </w:r>
      </w:hyperlink>
      <w:r w:rsidRPr="00716454">
        <w:rPr>
          <w:rFonts w:ascii="Times New Roman" w:eastAsia="Times New Roman" w:hAnsi="Times New Roman" w:cs="Times New Roman"/>
          <w:sz w:val="24"/>
          <w:szCs w:val="24"/>
        </w:rPr>
        <w:t> (EDW) and analytics applications to identify vulnerable patients and monitor clinicians’ compliance with best practice bundles, </w:t>
      </w:r>
      <w:hyperlink r:id="rId37" w:tgtFrame="_blank" w:history="1">
        <w:r w:rsidRPr="00716454">
          <w:rPr>
            <w:rFonts w:ascii="Times New Roman" w:eastAsia="Times New Roman" w:hAnsi="Times New Roman" w:cs="Times New Roman"/>
            <w:color w:val="1155CC"/>
            <w:sz w:val="24"/>
            <w:szCs w:val="24"/>
            <w:u w:val="single"/>
          </w:rPr>
          <w:t>Texas Children’s Hospital decreased HAIs by 35 percent</w:t>
        </w:r>
      </w:hyperlink>
      <w:r w:rsidRPr="00716454">
        <w:rPr>
          <w:rFonts w:ascii="Times New Roman" w:eastAsia="Times New Roman" w:hAnsi="Times New Roman" w:cs="Times New Roman"/>
          <w:sz w:val="24"/>
          <w:szCs w:val="24"/>
        </w:rPr>
        <w:t>.</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#3: Readmissions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Readmission following hospitalization is a common outcome measure. Readmission is costly (and often preventable). In fact, researchers estimate that in one year, </w:t>
      </w:r>
      <w:hyperlink r:id="rId38" w:tgtFrame="_blank" w:history="1">
        <w:r w:rsidRPr="00716454">
          <w:rPr>
            <w:rFonts w:ascii="Times New Roman" w:eastAsia="Times New Roman" w:hAnsi="Times New Roman" w:cs="Times New Roman"/>
            <w:color w:val="1155CC"/>
            <w:sz w:val="24"/>
            <w:szCs w:val="24"/>
            <w:u w:val="single"/>
          </w:rPr>
          <w:t>$25 to $45 billion is spent on avoidable complications and unnecessary hospital readmissions</w:t>
        </w:r>
      </w:hyperlink>
      <w:r w:rsidRPr="00716454">
        <w:rPr>
          <w:rFonts w:ascii="Times New Roman" w:eastAsia="Times New Roman" w:hAnsi="Times New Roman" w:cs="Times New Roman"/>
          <w:sz w:val="24"/>
          <w:szCs w:val="24"/>
        </w:rPr>
        <w:t>. After increasing efforts to reduce their hospital readmission rate, </w:t>
      </w:r>
      <w:hyperlink r:id="rId39" w:tgtFrame="_blank" w:history="1">
        <w:r w:rsidRPr="00716454">
          <w:rPr>
            <w:rFonts w:ascii="Times New Roman" w:eastAsia="Times New Roman" w:hAnsi="Times New Roman" w:cs="Times New Roman"/>
            <w:color w:val="1155CC"/>
            <w:sz w:val="24"/>
            <w:szCs w:val="24"/>
            <w:u w:val="single"/>
          </w:rPr>
          <w:t>the University of Texas Medical Branch (UTMB) saw a 14.5 percent relative reduction in their 30-day all-cause readmission rate</w:t>
        </w:r>
      </w:hyperlink>
      <w:r w:rsidRPr="00716454">
        <w:rPr>
          <w:rFonts w:ascii="Times New Roman" w:eastAsia="Times New Roman" w:hAnsi="Times New Roman" w:cs="Times New Roman"/>
          <w:sz w:val="24"/>
          <w:szCs w:val="24"/>
        </w:rPr>
        <w:t xml:space="preserve">, resulting in $1.9 million in cost avoidance. UTMB reduced their hospital readmission rate by implementing </w:t>
      </w:r>
      <w:r w:rsidRPr="00716454">
        <w:rPr>
          <w:rFonts w:ascii="Times New Roman" w:eastAsia="Times New Roman" w:hAnsi="Times New Roman" w:cs="Times New Roman"/>
          <w:sz w:val="24"/>
          <w:szCs w:val="24"/>
        </w:rPr>
        <w:lastRenderedPageBreak/>
        <w:t>several care coordination programs and leveraging their analytics platform and advanced analytics applications to improve the accuracy and timeliness of data for informing decision making and monitoring performance.</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#4: Patient Experience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Patient-reported outcome measures (PROMs) fall within the patient experience outcome measure category. According to the </w:t>
      </w:r>
      <w:hyperlink r:id="rId40" w:tgtFrame="_blank" w:history="1">
        <w:r w:rsidRPr="00716454">
          <w:rPr>
            <w:rFonts w:ascii="Times New Roman" w:eastAsia="Times New Roman" w:hAnsi="Times New Roman" w:cs="Times New Roman"/>
            <w:color w:val="1155CC"/>
            <w:sz w:val="24"/>
            <w:szCs w:val="24"/>
            <w:u w:val="single"/>
          </w:rPr>
          <w:t>Agency for Clinical Innovation</w:t>
        </w:r>
      </w:hyperlink>
      <w:r w:rsidRPr="00716454">
        <w:rPr>
          <w:rFonts w:ascii="Times New Roman" w:eastAsia="Times New Roman" w:hAnsi="Times New Roman" w:cs="Times New Roman"/>
          <w:sz w:val="24"/>
          <w:szCs w:val="24"/>
        </w:rPr>
        <w:t> (ACI), PROMs “assess the patient’s experience and perception of their healthcare. This information can provide a more realistic gauge of patient satisfaction as well as real-time information for local service improvement and to enable a more rapid response to identified issues.” For example, a patient might be asked to complete a satisfaction survey (on a scale of 1-5) about the care they received.</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Patient experience may also be used as a </w:t>
      </w:r>
      <w:hyperlink r:id="rId41" w:tgtFrame="_blank" w:history="1">
        <w:r w:rsidRPr="00716454">
          <w:rPr>
            <w:rFonts w:ascii="Times New Roman" w:eastAsia="Times New Roman" w:hAnsi="Times New Roman" w:cs="Times New Roman"/>
            <w:color w:val="1155CC"/>
            <w:sz w:val="24"/>
            <w:szCs w:val="24"/>
            <w:u w:val="single"/>
          </w:rPr>
          <w:t>balance metric for improvement work</w:t>
        </w:r>
      </w:hyperlink>
      <w:r w:rsidRPr="00716454">
        <w:rPr>
          <w:rFonts w:ascii="Times New Roman" w:eastAsia="Times New Roman" w:hAnsi="Times New Roman" w:cs="Times New Roman"/>
          <w:sz w:val="24"/>
          <w:szCs w:val="24"/>
        </w:rPr>
        <w:t>. For example, a care delivery process may decrease the LOS, which can be a positive outcome, but result in a decreased patient satisfaction score if patients instead feel they are being pushed out.</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#5: Effectiveness of Care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Effectiveness of care outcome measures </w:t>
      </w:r>
      <w:proofErr w:type="gramStart"/>
      <w:r w:rsidRPr="00716454">
        <w:rPr>
          <w:rFonts w:ascii="Times New Roman" w:eastAsia="Times New Roman" w:hAnsi="Times New Roman" w:cs="Times New Roman"/>
          <w:sz w:val="24"/>
          <w:szCs w:val="24"/>
        </w:rPr>
        <w:t>evaluate</w:t>
      </w:r>
      <w:proofErr w:type="gramEnd"/>
      <w:r w:rsidRPr="00716454">
        <w:rPr>
          <w:rFonts w:ascii="Times New Roman" w:eastAsia="Times New Roman" w:hAnsi="Times New Roman" w:cs="Times New Roman"/>
          <w:sz w:val="24"/>
          <w:szCs w:val="24"/>
        </w:rPr>
        <w:t xml:space="preserve"> two things:</w:t>
      </w:r>
    </w:p>
    <w:p w:rsidR="00716454" w:rsidRPr="00716454" w:rsidRDefault="00716454" w:rsidP="00716454">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Compliance with best practice care guidelines.</w:t>
      </w:r>
    </w:p>
    <w:p w:rsidR="00716454" w:rsidRPr="00716454" w:rsidRDefault="00716454" w:rsidP="00716454">
      <w:pPr>
        <w:numPr>
          <w:ilvl w:val="0"/>
          <w:numId w:val="9"/>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Achieved outcomes (e.g., lower readmission rates for heart failure patients).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Given the rapid changes that occur within healthcare, making sure best practice care guidelines are current is critical for achieving the best care outcomes. It’s important to track clinician compliance with care guidelines; </w:t>
      </w:r>
      <w:proofErr w:type="gramStart"/>
      <w:r w:rsidRPr="00716454">
        <w:rPr>
          <w:rFonts w:ascii="Times New Roman" w:eastAsia="Times New Roman" w:hAnsi="Times New Roman" w:cs="Times New Roman"/>
          <w:sz w:val="24"/>
          <w:szCs w:val="24"/>
        </w:rPr>
        <w:t>It’s</w:t>
      </w:r>
      <w:proofErr w:type="gramEnd"/>
      <w:r w:rsidRPr="00716454">
        <w:rPr>
          <w:rFonts w:ascii="Times New Roman" w:eastAsia="Times New Roman" w:hAnsi="Times New Roman" w:cs="Times New Roman"/>
          <w:sz w:val="24"/>
          <w:szCs w:val="24"/>
        </w:rPr>
        <w:t xml:space="preserve"> equally important to monitor treatment outcomes and alert clinicians when care guidelines need to be reviewed.</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Failing to adhere to evidence-based care guidelines can have negative consequences for patients. For example, according to </w:t>
      </w:r>
      <w:hyperlink r:id="rId42" w:tgtFrame="_blank" w:history="1">
        <w:r w:rsidRPr="00716454">
          <w:rPr>
            <w:rFonts w:ascii="Times New Roman" w:eastAsia="Times New Roman" w:hAnsi="Times New Roman" w:cs="Times New Roman"/>
            <w:color w:val="1155CC"/>
            <w:sz w:val="24"/>
            <w:szCs w:val="24"/>
            <w:u w:val="single"/>
          </w:rPr>
          <w:t>The Dartmouth Atlas of Healthcare</w:t>
        </w:r>
      </w:hyperlink>
      <w:r w:rsidRPr="00716454">
        <w:rPr>
          <w:rFonts w:ascii="Times New Roman" w:eastAsia="Times New Roman" w:hAnsi="Times New Roman" w:cs="Times New Roman"/>
          <w:sz w:val="24"/>
          <w:szCs w:val="24"/>
        </w:rPr>
        <w:t>, “even though it is well established that beta-blockers can reduce the risk of heart attack in patients who have already had one heart attack, many heart attack patients are never prescribed beta-blockers.”</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#6: Timeliness of Care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Timeliness of care outcome measures </w:t>
      </w:r>
      <w:proofErr w:type="gramStart"/>
      <w:r w:rsidRPr="00716454">
        <w:rPr>
          <w:rFonts w:ascii="Times New Roman" w:eastAsia="Times New Roman" w:hAnsi="Times New Roman" w:cs="Times New Roman"/>
          <w:sz w:val="24"/>
          <w:szCs w:val="24"/>
        </w:rPr>
        <w:t>assess</w:t>
      </w:r>
      <w:proofErr w:type="gramEnd"/>
      <w:r w:rsidRPr="00716454">
        <w:rPr>
          <w:rFonts w:ascii="Times New Roman" w:eastAsia="Times New Roman" w:hAnsi="Times New Roman" w:cs="Times New Roman"/>
          <w:sz w:val="24"/>
          <w:szCs w:val="24"/>
        </w:rPr>
        <w:t xml:space="preserve"> patient access to care. Overcrowding in the emergency department has been associated with increased inpatient mortality, increased length of stay, and increased costs for admitted patients.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 community hospital system </w:t>
      </w:r>
      <w:hyperlink r:id="rId43" w:tgtFrame="_blank" w:history="1">
        <w:r w:rsidRPr="00716454">
          <w:rPr>
            <w:rFonts w:ascii="Times New Roman" w:eastAsia="Times New Roman" w:hAnsi="Times New Roman" w:cs="Times New Roman"/>
            <w:color w:val="1155CC"/>
            <w:sz w:val="24"/>
            <w:szCs w:val="24"/>
            <w:u w:val="single"/>
          </w:rPr>
          <w:t>implemented an improvement process to address overcrowding in its ED</w:t>
        </w:r>
      </w:hyperlink>
      <w:r w:rsidRPr="00716454">
        <w:rPr>
          <w:rFonts w:ascii="Times New Roman" w:eastAsia="Times New Roman" w:hAnsi="Times New Roman" w:cs="Times New Roman"/>
          <w:sz w:val="24"/>
          <w:szCs w:val="24"/>
        </w:rPr>
        <w:t xml:space="preserve"> after determining that approximately 4,000 patients were leaving its ED each year without being seen. They leveraged their analytics platform to develop an ED analytics application that provided actionable, timely ED performance data to focus improvement efforts on four areas: staffing patterns, registration, triage assessment by the registered nurse, and early access to a qualified medical provider. They achieved significant performance improvements, including an </w:t>
      </w:r>
      <w:r w:rsidRPr="00716454">
        <w:rPr>
          <w:rFonts w:ascii="Times New Roman" w:eastAsia="Times New Roman" w:hAnsi="Times New Roman" w:cs="Times New Roman"/>
          <w:sz w:val="24"/>
          <w:szCs w:val="24"/>
        </w:rPr>
        <w:lastRenderedPageBreak/>
        <w:t>89 percent relative reduction in the rate of patients that left without being seen, with current performance at 0.4 percent.</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#7: Efficient Use of Medical Imaging</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efficient use of medical imaging is an increasingly important outcome measure. According to the </w:t>
      </w:r>
      <w:hyperlink r:id="rId44" w:tgtFrame="_blank" w:history="1">
        <w:r w:rsidRPr="00716454">
          <w:rPr>
            <w:rFonts w:ascii="Times New Roman" w:eastAsia="Times New Roman" w:hAnsi="Times New Roman" w:cs="Times New Roman"/>
            <w:color w:val="1155CC"/>
            <w:sz w:val="24"/>
            <w:szCs w:val="24"/>
            <w:u w:val="single"/>
          </w:rPr>
          <w:t>European Science Foundation</w:t>
        </w:r>
      </w:hyperlink>
      <w:r w:rsidRPr="00716454">
        <w:rPr>
          <w:rFonts w:ascii="Times New Roman" w:eastAsia="Times New Roman" w:hAnsi="Times New Roman" w:cs="Times New Roman"/>
          <w:sz w:val="24"/>
          <w:szCs w:val="24"/>
        </w:rPr>
        <w:t>, “Medical imaging plays a central role in the global healthcare system as it contributes to improved patient outcome and more cost-efficient healthcare in all major disease entities.”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For example, during </w:t>
      </w:r>
      <w:hyperlink r:id="rId45" w:tgtFrame="_blank" w:history="1">
        <w:r w:rsidRPr="00716454">
          <w:rPr>
            <w:rFonts w:ascii="Times New Roman" w:eastAsia="Times New Roman" w:hAnsi="Times New Roman" w:cs="Times New Roman"/>
            <w:color w:val="1155CC"/>
            <w:sz w:val="24"/>
            <w:szCs w:val="24"/>
            <w:u w:val="single"/>
          </w:rPr>
          <w:t>Texas Children’s Hospital’s efforts to improve asthma care</w:t>
        </w:r>
      </w:hyperlink>
      <w:r w:rsidRPr="00716454">
        <w:rPr>
          <w:rFonts w:ascii="Times New Roman" w:eastAsia="Times New Roman" w:hAnsi="Times New Roman" w:cs="Times New Roman"/>
          <w:sz w:val="24"/>
          <w:szCs w:val="24"/>
        </w:rPr>
        <w:t> it discovered a high volume of chest X-rays being administered to asthma patients. Using its EDW to examine real-time X-ray data, it realized clinicians were ordering chest X-rays for 65 percent of their asthma patients—evidence-based practice calls for X-rays in only five percent of cases. Texas Children’s Hospital’s IT team traced the problem to a faulty order set within the hospital’s EHR, and rewrote the order set to reflect the evidence-based best practice.</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Process Measures Are Equally Important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Achieving outcomes is important, but the process by which health systems achieve outcomes is equally important. Process measures capture provider productivity and adherence to standards of recommended care. For example, if a health system wants to reduce the incidence of skin breakdown, then it might implement the process measure of performing a risk assessment using the </w:t>
      </w:r>
      <w:hyperlink r:id="rId46" w:tgtFrame="_blank" w:history="1">
        <w:r w:rsidRPr="00716454">
          <w:rPr>
            <w:rFonts w:ascii="Times New Roman" w:eastAsia="Times New Roman" w:hAnsi="Times New Roman" w:cs="Times New Roman"/>
            <w:color w:val="1155CC"/>
            <w:sz w:val="24"/>
            <w:szCs w:val="24"/>
            <w:u w:val="single"/>
          </w:rPr>
          <w:t>Barden Scale</w:t>
        </w:r>
      </w:hyperlink>
      <w:r w:rsidRPr="00716454">
        <w:rPr>
          <w:rFonts w:ascii="Times New Roman" w:eastAsia="Times New Roman" w:hAnsi="Times New Roman" w:cs="Times New Roman"/>
          <w:sz w:val="24"/>
          <w:szCs w:val="24"/>
        </w:rPr>
        <w:t> for reducing pressure ulcer risk in all the appropriate units in the hospital. If health systems are too focused on an outcome, then they lose sight of the process.</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following outcome and process measures illustrate how systems can improve healthcare outcomes by improving processes:</w:t>
      </w:r>
    </w:p>
    <w:p w:rsidR="00716454" w:rsidRPr="00716454" w:rsidRDefault="00716454" w:rsidP="00716454">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Conducting a medication reconciliation system check with heart failure patients at the time of discharge (process measure) can reduce heart failure readmission rates (outcome measure).</w:t>
      </w:r>
    </w:p>
    <w:p w:rsidR="00716454" w:rsidRPr="00716454" w:rsidRDefault="00716454" w:rsidP="00716454">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Performing a fall risk assessment on a patient at the time of admission (process measure) can reduce fall rates (outcome measure).</w:t>
      </w:r>
    </w:p>
    <w:p w:rsidR="00716454" w:rsidRPr="00716454" w:rsidRDefault="00716454" w:rsidP="00716454">
      <w:pPr>
        <w:numPr>
          <w:ilvl w:val="0"/>
          <w:numId w:val="10"/>
        </w:numPr>
        <w:spacing w:before="100" w:beforeAutospacing="1" w:after="100" w:afterAutospacing="1" w:line="240" w:lineRule="auto"/>
        <w:ind w:left="945"/>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Using a skin assessment tool (process measure) can prevent skin breakdown (outcome measure).</w:t>
      </w: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Three Essentials for Successful Healthcare Outcomes Measurement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 xml:space="preserve">Among every health system’s goals is to improve patient outcomes. But outcomes improvement can’t happen without effective outcomes measurement. As health systems work diligently to </w:t>
      </w:r>
      <w:r w:rsidRPr="00716454">
        <w:rPr>
          <w:rFonts w:ascii="Times New Roman" w:eastAsia="Times New Roman" w:hAnsi="Times New Roman" w:cs="Times New Roman"/>
          <w:sz w:val="24"/>
          <w:szCs w:val="24"/>
        </w:rPr>
        <w:lastRenderedPageBreak/>
        <w:t>achieve the Quadruple Aim, they need to prioritize three outcomes measurement essentials: transparency, integrated care, and interoperability.</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Used in tandem, these essentials improve and sustain outcomes measurement efforts by creating a data-driven culture that embraces data transparency, an integrated care environment that treats the whole patient and improves critical care transitions, and interoperable systems that enable the seamless exchange of outcomes measurement data between clinicians, departments, and hospitals.</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Data Transparency</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Healthcare is on a journey to outcomes transparency. Patients rely on outcomes data to make educated decisions about their healthcare. Quality reporting organizations, such as </w:t>
      </w:r>
      <w:hyperlink r:id="rId47" w:tgtFrame="_blank" w:history="1">
        <w:r w:rsidRPr="00716454">
          <w:rPr>
            <w:rFonts w:ascii="Times New Roman" w:eastAsia="Times New Roman" w:hAnsi="Times New Roman" w:cs="Times New Roman"/>
            <w:color w:val="1155CC"/>
            <w:sz w:val="24"/>
            <w:szCs w:val="24"/>
            <w:u w:val="single"/>
          </w:rPr>
          <w:t xml:space="preserve">The </w:t>
        </w:r>
        <w:proofErr w:type="spellStart"/>
        <w:r w:rsidRPr="00716454">
          <w:rPr>
            <w:rFonts w:ascii="Times New Roman" w:eastAsia="Times New Roman" w:hAnsi="Times New Roman" w:cs="Times New Roman"/>
            <w:color w:val="1155CC"/>
            <w:sz w:val="24"/>
            <w:szCs w:val="24"/>
            <w:u w:val="single"/>
          </w:rPr>
          <w:t>LeapFrog</w:t>
        </w:r>
        <w:proofErr w:type="spellEnd"/>
        <w:r w:rsidRPr="00716454">
          <w:rPr>
            <w:rFonts w:ascii="Times New Roman" w:eastAsia="Times New Roman" w:hAnsi="Times New Roman" w:cs="Times New Roman"/>
            <w:color w:val="1155CC"/>
            <w:sz w:val="24"/>
            <w:szCs w:val="24"/>
            <w:u w:val="single"/>
          </w:rPr>
          <w:t xml:space="preserve"> Group</w:t>
        </w:r>
      </w:hyperlink>
      <w:r w:rsidRPr="00716454">
        <w:rPr>
          <w:rFonts w:ascii="Times New Roman" w:eastAsia="Times New Roman" w:hAnsi="Times New Roman" w:cs="Times New Roman"/>
          <w:sz w:val="24"/>
          <w:szCs w:val="24"/>
        </w:rPr>
        <w:t>, evaluate and report on U.S. hospital safety and quality performance. Patients want reassurance that they’re receiving the best care for the lowest cost. Publicly reported healthcare outcomes help do just that.</w:t>
      </w:r>
    </w:p>
    <w:p w:rsidR="00716454" w:rsidRPr="00716454" w:rsidRDefault="00716454" w:rsidP="00716454">
      <w:pPr>
        <w:spacing w:after="0" w:line="240" w:lineRule="auto"/>
        <w:rPr>
          <w:rFonts w:ascii="Times New Roman" w:eastAsia="Times New Roman" w:hAnsi="Times New Roman" w:cs="Times New Roman"/>
          <w:sz w:val="24"/>
          <w:szCs w:val="24"/>
        </w:rPr>
      </w:pPr>
    </w:p>
    <w:tbl>
      <w:tblPr>
        <w:tblW w:w="6000" w:type="dxa"/>
        <w:tblCellSpacing w:w="0" w:type="dxa"/>
        <w:tblCellMar>
          <w:left w:w="0" w:type="dxa"/>
          <w:right w:w="0" w:type="dxa"/>
        </w:tblCellMar>
        <w:tblLook w:val="04A0"/>
      </w:tblPr>
      <w:tblGrid>
        <w:gridCol w:w="6046"/>
      </w:tblGrid>
      <w:tr w:rsidR="00716454" w:rsidRPr="00716454" w:rsidTr="00716454">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16454" w:rsidRPr="00716454">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16454" w:rsidRPr="00716454">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16454" w:rsidRPr="00716454">
                          <w:trPr>
                            <w:tblCellSpacing w:w="15" w:type="dxa"/>
                          </w:trPr>
                          <w:tc>
                            <w:tcPr>
                              <w:tcW w:w="0" w:type="auto"/>
                              <w:tcMar>
                                <w:top w:w="225" w:type="dxa"/>
                                <w:left w:w="225" w:type="dxa"/>
                                <w:bottom w:w="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4"/>
                                  <w:szCs w:val="24"/>
                                </w:rPr>
                              </w:pPr>
                            </w:p>
                          </w:tc>
                          <w:tc>
                            <w:tcPr>
                              <w:tcW w:w="0" w:type="auto"/>
                              <w:tcMar>
                                <w:top w:w="225" w:type="dxa"/>
                                <w:left w:w="0" w:type="dxa"/>
                                <w:bottom w:w="0" w:type="dxa"/>
                                <w:right w:w="225"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r w:rsidR="00716454" w:rsidRPr="00716454">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16454" w:rsidRPr="00716454">
                    <w:trPr>
                      <w:tblCellSpacing w:w="0" w:type="dxa"/>
                      <w:jc w:val="center"/>
                    </w:trPr>
                    <w:tc>
                      <w:tcPr>
                        <w:tcW w:w="0" w:type="auto"/>
                        <w:shd w:val="clear" w:color="auto" w:fill="FFFFFF"/>
                        <w:tcMar>
                          <w:top w:w="240" w:type="dxa"/>
                          <w:left w:w="180" w:type="dxa"/>
                          <w:bottom w:w="240" w:type="dxa"/>
                          <w:right w:w="0" w:type="dxa"/>
                        </w:tcMar>
                        <w:hideMark/>
                      </w:tcPr>
                      <w:p w:rsidR="00716454" w:rsidRPr="00716454" w:rsidRDefault="00716454" w:rsidP="00716454">
                        <w:pPr>
                          <w:spacing w:after="0" w:line="240" w:lineRule="auto"/>
                          <w:rPr>
                            <w:rFonts w:ascii="Times New Roman" w:eastAsia="Times New Roman" w:hAnsi="Times New Roman" w:cs="Times New Roman"/>
                            <w:sz w:val="20"/>
                            <w:szCs w:val="20"/>
                          </w:rPr>
                        </w:pPr>
                      </w:p>
                    </w:tc>
                    <w:tc>
                      <w:tcPr>
                        <w:tcW w:w="5250" w:type="dxa"/>
                        <w:shd w:val="clear" w:color="auto" w:fill="FFFFFF"/>
                        <w:tcMar>
                          <w:top w:w="180" w:type="dxa"/>
                          <w:left w:w="180" w:type="dxa"/>
                          <w:bottom w:w="240" w:type="dxa"/>
                          <w:right w:w="360" w:type="dxa"/>
                        </w:tcMar>
                        <w:vAlign w:val="center"/>
                        <w:hideMark/>
                      </w:tcPr>
                      <w:p w:rsidR="00716454" w:rsidRPr="00716454" w:rsidRDefault="00716454" w:rsidP="00716454">
                        <w:pPr>
                          <w:spacing w:after="90" w:line="285" w:lineRule="atLeast"/>
                          <w:outlineLvl w:val="1"/>
                          <w:rPr>
                            <w:rFonts w:ascii="Segoe UI" w:eastAsia="Times New Roman" w:hAnsi="Segoe UI" w:cs="Segoe UI"/>
                            <w:b/>
                            <w:bCs/>
                            <w:color w:val="1D2228"/>
                            <w:sz w:val="21"/>
                            <w:szCs w:val="21"/>
                          </w:rPr>
                        </w:pPr>
                        <w:r w:rsidRPr="00716454">
                          <w:rPr>
                            <w:rFonts w:ascii="Segoe UI" w:eastAsia="Times New Roman" w:hAnsi="Segoe UI" w:cs="Segoe UI"/>
                            <w:b/>
                            <w:bCs/>
                            <w:color w:val="1D2228"/>
                            <w:sz w:val="21"/>
                            <w:szCs w:val="21"/>
                          </w:rPr>
                          <w:t>Leapfrog</w:t>
                        </w: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tc>
      </w:tr>
    </w:tbl>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after="0" w:line="240" w:lineRule="auto"/>
        <w:rPr>
          <w:rFonts w:ascii="Times New Roman" w:eastAsia="Times New Roman" w:hAnsi="Times New Roman" w:cs="Times New Roman"/>
          <w:sz w:val="24"/>
          <w:szCs w:val="24"/>
        </w:rPr>
      </w:pP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#2: Integrated Care and Transitions of Care</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The industry is also shifting toward integrated care—hospitals aren’t just treating a hip anymore; they’re treating the whole person. A key component of integrated care is helping patients with transitions: easing patient transitions from the ER, to surgery, to inpatient care, to rehab, and, ultimately, back to a steady, normal state. Transitional points of care are critical for managing consistency of care and providing the right care in the right setting at the lowest cost.</w:t>
      </w:r>
    </w:p>
    <w:p w:rsidR="00716454" w:rsidRPr="00716454" w:rsidRDefault="00716454" w:rsidP="00716454">
      <w:pPr>
        <w:spacing w:before="100" w:beforeAutospacing="1" w:after="100" w:afterAutospacing="1" w:line="240" w:lineRule="auto"/>
        <w:outlineLvl w:val="2"/>
        <w:rPr>
          <w:rFonts w:ascii="Times New Roman" w:eastAsia="Times New Roman" w:hAnsi="Times New Roman" w:cs="Times New Roman"/>
          <w:b/>
          <w:bCs/>
          <w:sz w:val="27"/>
          <w:szCs w:val="27"/>
        </w:rPr>
      </w:pPr>
      <w:r w:rsidRPr="00716454">
        <w:rPr>
          <w:rFonts w:ascii="Times New Roman" w:eastAsia="Times New Roman" w:hAnsi="Times New Roman" w:cs="Times New Roman"/>
          <w:b/>
          <w:bCs/>
          <w:sz w:val="27"/>
          <w:szCs w:val="27"/>
        </w:rPr>
        <w:t>#3: Data Interoperability</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Sharing data between departments within an integrated system is another important component. Outcomes measurement and improvement depends on the system’s ability to share data across clinicians, labs, hospitals, clinics, pharmacies, and other staff, departments, and settings. EDWs improve interoperability by integrating data and providing a single source of truth.</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lastRenderedPageBreak/>
        <w:t>Improving critical care transitions through integrated care and seamlessly exchanging data through interoperability are essential ingredients for better outcomes measurement. For example, as heart failure patients are discharged (depending on the risk stratification), it’s critical for them to see a cardiologist or primary care physician as quickly as possible. Otherwise, they have a higher risk of being readmitted.</w:t>
      </w:r>
    </w:p>
    <w:p w:rsidR="00716454" w:rsidRPr="00716454" w:rsidRDefault="00716454" w:rsidP="00716454">
      <w:pPr>
        <w:spacing w:before="100" w:beforeAutospacing="1" w:after="100" w:afterAutospacing="1" w:line="240" w:lineRule="auto"/>
        <w:outlineLvl w:val="1"/>
        <w:rPr>
          <w:rFonts w:ascii="Times New Roman" w:eastAsia="Times New Roman" w:hAnsi="Times New Roman" w:cs="Times New Roman"/>
          <w:b/>
          <w:bCs/>
          <w:sz w:val="36"/>
          <w:szCs w:val="36"/>
        </w:rPr>
      </w:pPr>
      <w:r w:rsidRPr="00716454">
        <w:rPr>
          <w:rFonts w:ascii="Times New Roman" w:eastAsia="Times New Roman" w:hAnsi="Times New Roman" w:cs="Times New Roman"/>
          <w:b/>
          <w:bCs/>
          <w:sz w:val="36"/>
          <w:szCs w:val="36"/>
        </w:rPr>
        <w:t>The Quadruple Aim: The Goal of Outcomes Measurement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Outcomes measurement should always tie back to the Quadruple Aim, so healthcare organizations aren’t just reporting numbers. Health systems shouldn’t become so obsessed with numbers that they forget their Quadruple Aim goal. Instead, they should focus on quality and improving the care experience at the most efficient cost.</w:t>
      </w:r>
    </w:p>
    <w:p w:rsidR="00716454" w:rsidRPr="00716454" w:rsidRDefault="00716454" w:rsidP="00716454">
      <w:pPr>
        <w:spacing w:before="100" w:beforeAutospacing="1" w:after="100" w:afterAutospacing="1" w:line="240" w:lineRule="auto"/>
        <w:rPr>
          <w:rFonts w:ascii="Times New Roman" w:eastAsia="Times New Roman" w:hAnsi="Times New Roman" w:cs="Times New Roman"/>
          <w:sz w:val="24"/>
          <w:szCs w:val="24"/>
        </w:rPr>
      </w:pPr>
      <w:r w:rsidRPr="00716454">
        <w:rPr>
          <w:rFonts w:ascii="Times New Roman" w:eastAsia="Times New Roman" w:hAnsi="Times New Roman" w:cs="Times New Roman"/>
          <w:sz w:val="24"/>
          <w:szCs w:val="24"/>
        </w:rPr>
        <w:t>Health systems measure outcomes to ensure they are delivering the best care for patients and providing a transparent, efficient, and accessible environment for all healthcare providers. That is outcomes nirvana.</w:t>
      </w:r>
    </w:p>
    <w:p w:rsidR="000B062C" w:rsidRDefault="000B062C"/>
    <w:sectPr w:rsidR="000B062C" w:rsidSect="00645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1069"/>
    <w:multiLevelType w:val="multilevel"/>
    <w:tmpl w:val="5C5E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E91EDE"/>
    <w:multiLevelType w:val="multilevel"/>
    <w:tmpl w:val="C9EAC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891795"/>
    <w:multiLevelType w:val="multilevel"/>
    <w:tmpl w:val="CAD4D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826439"/>
    <w:multiLevelType w:val="multilevel"/>
    <w:tmpl w:val="4BC0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EE5EFC"/>
    <w:multiLevelType w:val="multilevel"/>
    <w:tmpl w:val="5A2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861ADF"/>
    <w:multiLevelType w:val="multilevel"/>
    <w:tmpl w:val="474E0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DD6FA4"/>
    <w:multiLevelType w:val="multilevel"/>
    <w:tmpl w:val="733A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5D349A"/>
    <w:multiLevelType w:val="multilevel"/>
    <w:tmpl w:val="7F9AA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332C8A"/>
    <w:multiLevelType w:val="multilevel"/>
    <w:tmpl w:val="A74A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4B65B7"/>
    <w:multiLevelType w:val="multilevel"/>
    <w:tmpl w:val="ECEE1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1"/>
  </w:num>
  <w:num w:numId="4">
    <w:abstractNumId w:val="9"/>
  </w:num>
  <w:num w:numId="5">
    <w:abstractNumId w:val="6"/>
  </w:num>
  <w:num w:numId="6">
    <w:abstractNumId w:val="2"/>
  </w:num>
  <w:num w:numId="7">
    <w:abstractNumId w:val="5"/>
  </w:num>
  <w:num w:numId="8">
    <w:abstractNumId w:val="4"/>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716454"/>
    <w:rsid w:val="000B062C"/>
    <w:rsid w:val="00645844"/>
    <w:rsid w:val="00716454"/>
    <w:rsid w:val="008C67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844"/>
  </w:style>
  <w:style w:type="paragraph" w:styleId="Heading1">
    <w:name w:val="heading 1"/>
    <w:basedOn w:val="Normal"/>
    <w:link w:val="Heading1Char"/>
    <w:uiPriority w:val="9"/>
    <w:qFormat/>
    <w:rsid w:val="007164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164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64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71645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45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1645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6454"/>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716454"/>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7164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6454"/>
    <w:rPr>
      <w:color w:val="0000FF"/>
      <w:u w:val="single"/>
    </w:rPr>
  </w:style>
  <w:style w:type="character" w:styleId="Strong">
    <w:name w:val="Strong"/>
    <w:basedOn w:val="DefaultParagraphFont"/>
    <w:uiPriority w:val="22"/>
    <w:qFormat/>
    <w:rsid w:val="00716454"/>
    <w:rPr>
      <w:b/>
      <w:bCs/>
    </w:rPr>
  </w:style>
  <w:style w:type="character" w:styleId="Emphasis">
    <w:name w:val="Emphasis"/>
    <w:basedOn w:val="DefaultParagraphFont"/>
    <w:uiPriority w:val="20"/>
    <w:qFormat/>
    <w:rsid w:val="00716454"/>
    <w:rPr>
      <w:i/>
      <w:iCs/>
    </w:rPr>
  </w:style>
  <w:style w:type="paragraph" w:styleId="BalloonText">
    <w:name w:val="Balloon Text"/>
    <w:basedOn w:val="Normal"/>
    <w:link w:val="BalloonTextChar"/>
    <w:uiPriority w:val="99"/>
    <w:semiHidden/>
    <w:unhideWhenUsed/>
    <w:rsid w:val="008C6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7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7293746">
      <w:bodyDiv w:val="1"/>
      <w:marLeft w:val="0"/>
      <w:marRight w:val="0"/>
      <w:marTop w:val="0"/>
      <w:marBottom w:val="0"/>
      <w:divBdr>
        <w:top w:val="none" w:sz="0" w:space="0" w:color="auto"/>
        <w:left w:val="none" w:sz="0" w:space="0" w:color="auto"/>
        <w:bottom w:val="none" w:sz="0" w:space="0" w:color="auto"/>
        <w:right w:val="none" w:sz="0" w:space="0" w:color="auto"/>
      </w:divBdr>
      <w:divsChild>
        <w:div w:id="49623156">
          <w:marLeft w:val="0"/>
          <w:marRight w:val="0"/>
          <w:marTop w:val="0"/>
          <w:marBottom w:val="0"/>
          <w:divBdr>
            <w:top w:val="none" w:sz="0" w:space="0" w:color="auto"/>
            <w:left w:val="none" w:sz="0" w:space="0" w:color="auto"/>
            <w:bottom w:val="none" w:sz="0" w:space="0" w:color="auto"/>
            <w:right w:val="none" w:sz="0" w:space="0" w:color="auto"/>
          </w:divBdr>
        </w:div>
        <w:div w:id="554707293">
          <w:marLeft w:val="0"/>
          <w:marRight w:val="0"/>
          <w:marTop w:val="0"/>
          <w:marBottom w:val="0"/>
          <w:divBdr>
            <w:top w:val="none" w:sz="0" w:space="0" w:color="auto"/>
            <w:left w:val="none" w:sz="0" w:space="0" w:color="auto"/>
            <w:bottom w:val="none" w:sz="0" w:space="0" w:color="auto"/>
            <w:right w:val="none" w:sz="0" w:space="0" w:color="auto"/>
          </w:divBdr>
          <w:divsChild>
            <w:div w:id="1532838827">
              <w:marLeft w:val="0"/>
              <w:marRight w:val="0"/>
              <w:marTop w:val="0"/>
              <w:marBottom w:val="0"/>
              <w:divBdr>
                <w:top w:val="none" w:sz="0" w:space="0" w:color="auto"/>
                <w:left w:val="none" w:sz="0" w:space="0" w:color="auto"/>
                <w:bottom w:val="none" w:sz="0" w:space="0" w:color="auto"/>
                <w:right w:val="none" w:sz="0" w:space="0" w:color="auto"/>
              </w:divBdr>
            </w:div>
          </w:divsChild>
        </w:div>
        <w:div w:id="1980259552">
          <w:marLeft w:val="0"/>
          <w:marRight w:val="0"/>
          <w:marTop w:val="0"/>
          <w:marBottom w:val="0"/>
          <w:divBdr>
            <w:top w:val="none" w:sz="0" w:space="0" w:color="auto"/>
            <w:left w:val="none" w:sz="0" w:space="0" w:color="auto"/>
            <w:bottom w:val="none" w:sz="0" w:space="0" w:color="auto"/>
            <w:right w:val="none" w:sz="0" w:space="0" w:color="auto"/>
          </w:divBdr>
        </w:div>
        <w:div w:id="238253208">
          <w:marLeft w:val="0"/>
          <w:marRight w:val="0"/>
          <w:marTop w:val="0"/>
          <w:marBottom w:val="0"/>
          <w:divBdr>
            <w:top w:val="none" w:sz="0" w:space="0" w:color="auto"/>
            <w:left w:val="none" w:sz="0" w:space="0" w:color="auto"/>
            <w:bottom w:val="none" w:sz="0" w:space="0" w:color="auto"/>
            <w:right w:val="none" w:sz="0" w:space="0" w:color="auto"/>
          </w:divBdr>
        </w:div>
        <w:div w:id="345329073">
          <w:marLeft w:val="0"/>
          <w:marRight w:val="0"/>
          <w:marTop w:val="0"/>
          <w:marBottom w:val="0"/>
          <w:divBdr>
            <w:top w:val="none" w:sz="0" w:space="0" w:color="auto"/>
            <w:left w:val="none" w:sz="0" w:space="0" w:color="auto"/>
            <w:bottom w:val="none" w:sz="0" w:space="0" w:color="auto"/>
            <w:right w:val="none" w:sz="0" w:space="0" w:color="auto"/>
          </w:divBdr>
        </w:div>
        <w:div w:id="579291239">
          <w:marLeft w:val="0"/>
          <w:marRight w:val="0"/>
          <w:marTop w:val="0"/>
          <w:marBottom w:val="0"/>
          <w:divBdr>
            <w:top w:val="none" w:sz="0" w:space="0" w:color="auto"/>
            <w:left w:val="none" w:sz="0" w:space="0" w:color="auto"/>
            <w:bottom w:val="none" w:sz="0" w:space="0" w:color="auto"/>
            <w:right w:val="none" w:sz="0" w:space="0" w:color="auto"/>
          </w:divBdr>
          <w:divsChild>
            <w:div w:id="37096379">
              <w:marLeft w:val="0"/>
              <w:marRight w:val="0"/>
              <w:marTop w:val="0"/>
              <w:marBottom w:val="0"/>
              <w:divBdr>
                <w:top w:val="none" w:sz="0" w:space="0" w:color="auto"/>
                <w:left w:val="none" w:sz="0" w:space="0" w:color="auto"/>
                <w:bottom w:val="none" w:sz="0" w:space="0" w:color="auto"/>
                <w:right w:val="none" w:sz="0" w:space="0" w:color="auto"/>
              </w:divBdr>
              <w:divsChild>
                <w:div w:id="1478111407">
                  <w:marLeft w:val="0"/>
                  <w:marRight w:val="0"/>
                  <w:marTop w:val="0"/>
                  <w:marBottom w:val="0"/>
                  <w:divBdr>
                    <w:top w:val="none" w:sz="0" w:space="0" w:color="auto"/>
                    <w:left w:val="none" w:sz="0" w:space="0" w:color="auto"/>
                    <w:bottom w:val="none" w:sz="0" w:space="0" w:color="auto"/>
                    <w:right w:val="none" w:sz="0" w:space="0" w:color="auto"/>
                  </w:divBdr>
                </w:div>
                <w:div w:id="1505590915">
                  <w:marLeft w:val="0"/>
                  <w:marRight w:val="0"/>
                  <w:marTop w:val="0"/>
                  <w:marBottom w:val="0"/>
                  <w:divBdr>
                    <w:top w:val="none" w:sz="0" w:space="0" w:color="auto"/>
                    <w:left w:val="none" w:sz="0" w:space="0" w:color="auto"/>
                    <w:bottom w:val="none" w:sz="0" w:space="0" w:color="auto"/>
                    <w:right w:val="none" w:sz="0" w:space="0" w:color="auto"/>
                  </w:divBdr>
                  <w:divsChild>
                    <w:div w:id="1379086668">
                      <w:marLeft w:val="0"/>
                      <w:marRight w:val="0"/>
                      <w:marTop w:val="0"/>
                      <w:marBottom w:val="75"/>
                      <w:divBdr>
                        <w:top w:val="none" w:sz="0" w:space="0" w:color="auto"/>
                        <w:left w:val="none" w:sz="0" w:space="0" w:color="auto"/>
                        <w:bottom w:val="none" w:sz="0" w:space="0" w:color="auto"/>
                        <w:right w:val="none" w:sz="0" w:space="0" w:color="auto"/>
                      </w:divBdr>
                    </w:div>
                  </w:divsChild>
                </w:div>
                <w:div w:id="404839769">
                  <w:marLeft w:val="0"/>
                  <w:marRight w:val="0"/>
                  <w:marTop w:val="0"/>
                  <w:marBottom w:val="0"/>
                  <w:divBdr>
                    <w:top w:val="none" w:sz="0" w:space="0" w:color="auto"/>
                    <w:left w:val="none" w:sz="0" w:space="0" w:color="auto"/>
                    <w:bottom w:val="none" w:sz="0" w:space="0" w:color="auto"/>
                    <w:right w:val="none" w:sz="0" w:space="0" w:color="auto"/>
                  </w:divBdr>
                </w:div>
                <w:div w:id="253326811">
                  <w:marLeft w:val="0"/>
                  <w:marRight w:val="0"/>
                  <w:marTop w:val="0"/>
                  <w:marBottom w:val="0"/>
                  <w:divBdr>
                    <w:top w:val="none" w:sz="0" w:space="0" w:color="auto"/>
                    <w:left w:val="none" w:sz="0" w:space="0" w:color="auto"/>
                    <w:bottom w:val="none" w:sz="0" w:space="0" w:color="auto"/>
                    <w:right w:val="none" w:sz="0" w:space="0" w:color="auto"/>
                  </w:divBdr>
                  <w:divsChild>
                    <w:div w:id="112024276">
                      <w:marLeft w:val="0"/>
                      <w:marRight w:val="0"/>
                      <w:marTop w:val="0"/>
                      <w:marBottom w:val="0"/>
                      <w:divBdr>
                        <w:top w:val="none" w:sz="0" w:space="0" w:color="auto"/>
                        <w:left w:val="none" w:sz="0" w:space="0" w:color="auto"/>
                        <w:bottom w:val="none" w:sz="0" w:space="0" w:color="auto"/>
                        <w:right w:val="none" w:sz="0" w:space="0" w:color="auto"/>
                      </w:divBdr>
                      <w:divsChild>
                        <w:div w:id="2087457743">
                          <w:marLeft w:val="0"/>
                          <w:marRight w:val="0"/>
                          <w:marTop w:val="0"/>
                          <w:marBottom w:val="0"/>
                          <w:divBdr>
                            <w:top w:val="none" w:sz="0" w:space="0" w:color="auto"/>
                            <w:left w:val="none" w:sz="0" w:space="0" w:color="auto"/>
                            <w:bottom w:val="none" w:sz="0" w:space="0" w:color="auto"/>
                            <w:right w:val="none" w:sz="0" w:space="0" w:color="auto"/>
                          </w:divBdr>
                          <w:divsChild>
                            <w:div w:id="1426002180">
                              <w:marLeft w:val="0"/>
                              <w:marRight w:val="0"/>
                              <w:marTop w:val="0"/>
                              <w:marBottom w:val="0"/>
                              <w:divBdr>
                                <w:top w:val="none" w:sz="0" w:space="0" w:color="auto"/>
                                <w:left w:val="none" w:sz="0" w:space="0" w:color="auto"/>
                                <w:bottom w:val="none" w:sz="0" w:space="0" w:color="auto"/>
                                <w:right w:val="none" w:sz="0" w:space="0" w:color="auto"/>
                              </w:divBdr>
                            </w:div>
                            <w:div w:id="732121043">
                              <w:marLeft w:val="0"/>
                              <w:marRight w:val="0"/>
                              <w:marTop w:val="0"/>
                              <w:marBottom w:val="0"/>
                              <w:divBdr>
                                <w:top w:val="none" w:sz="0" w:space="0" w:color="auto"/>
                                <w:left w:val="none" w:sz="0" w:space="0" w:color="auto"/>
                                <w:bottom w:val="none" w:sz="0" w:space="0" w:color="auto"/>
                                <w:right w:val="none" w:sz="0" w:space="0" w:color="auto"/>
                              </w:divBdr>
                            </w:div>
                            <w:div w:id="2145076657">
                              <w:marLeft w:val="0"/>
                              <w:marRight w:val="0"/>
                              <w:marTop w:val="0"/>
                              <w:marBottom w:val="0"/>
                              <w:divBdr>
                                <w:top w:val="none" w:sz="0" w:space="0" w:color="auto"/>
                                <w:left w:val="none" w:sz="0" w:space="0" w:color="auto"/>
                                <w:bottom w:val="none" w:sz="0" w:space="0" w:color="auto"/>
                                <w:right w:val="none" w:sz="0" w:space="0" w:color="auto"/>
                              </w:divBdr>
                            </w:div>
                            <w:div w:id="1176070034">
                              <w:marLeft w:val="0"/>
                              <w:marRight w:val="0"/>
                              <w:marTop w:val="0"/>
                              <w:marBottom w:val="0"/>
                              <w:divBdr>
                                <w:top w:val="none" w:sz="0" w:space="0" w:color="auto"/>
                                <w:left w:val="none" w:sz="0" w:space="0" w:color="auto"/>
                                <w:bottom w:val="none" w:sz="0" w:space="0" w:color="auto"/>
                                <w:right w:val="none" w:sz="0" w:space="0" w:color="auto"/>
                              </w:divBdr>
                            </w:div>
                            <w:div w:id="1255552234">
                              <w:marLeft w:val="0"/>
                              <w:marRight w:val="0"/>
                              <w:marTop w:val="0"/>
                              <w:marBottom w:val="0"/>
                              <w:divBdr>
                                <w:top w:val="none" w:sz="0" w:space="0" w:color="auto"/>
                                <w:left w:val="none" w:sz="0" w:space="0" w:color="auto"/>
                                <w:bottom w:val="none" w:sz="0" w:space="0" w:color="auto"/>
                                <w:right w:val="none" w:sz="0" w:space="0" w:color="auto"/>
                              </w:divBdr>
                              <w:divsChild>
                                <w:div w:id="1474836842">
                                  <w:marLeft w:val="0"/>
                                  <w:marRight w:val="0"/>
                                  <w:marTop w:val="0"/>
                                  <w:marBottom w:val="0"/>
                                  <w:divBdr>
                                    <w:top w:val="none" w:sz="0" w:space="0" w:color="auto"/>
                                    <w:left w:val="none" w:sz="0" w:space="0" w:color="auto"/>
                                    <w:bottom w:val="none" w:sz="0" w:space="0" w:color="auto"/>
                                    <w:right w:val="none" w:sz="0" w:space="0" w:color="auto"/>
                                  </w:divBdr>
                                </w:div>
                                <w:div w:id="1914510477">
                                  <w:marLeft w:val="0"/>
                                  <w:marRight w:val="0"/>
                                  <w:marTop w:val="0"/>
                                  <w:marBottom w:val="0"/>
                                  <w:divBdr>
                                    <w:top w:val="none" w:sz="0" w:space="0" w:color="auto"/>
                                    <w:left w:val="none" w:sz="0" w:space="0" w:color="auto"/>
                                    <w:bottom w:val="none" w:sz="0" w:space="0" w:color="auto"/>
                                    <w:right w:val="none" w:sz="0" w:space="0" w:color="auto"/>
                                  </w:divBdr>
                                </w:div>
                              </w:divsChild>
                            </w:div>
                            <w:div w:id="945312223">
                              <w:marLeft w:val="0"/>
                              <w:marRight w:val="0"/>
                              <w:marTop w:val="0"/>
                              <w:marBottom w:val="0"/>
                              <w:divBdr>
                                <w:top w:val="none" w:sz="0" w:space="0" w:color="auto"/>
                                <w:left w:val="none" w:sz="0" w:space="0" w:color="auto"/>
                                <w:bottom w:val="none" w:sz="0" w:space="0" w:color="auto"/>
                                <w:right w:val="none" w:sz="0" w:space="0" w:color="auto"/>
                              </w:divBdr>
                              <w:divsChild>
                                <w:div w:id="2094085871">
                                  <w:marLeft w:val="0"/>
                                  <w:marRight w:val="0"/>
                                  <w:marTop w:val="0"/>
                                  <w:marBottom w:val="0"/>
                                  <w:divBdr>
                                    <w:top w:val="none" w:sz="0" w:space="0" w:color="auto"/>
                                    <w:left w:val="none" w:sz="0" w:space="0" w:color="auto"/>
                                    <w:bottom w:val="none" w:sz="0" w:space="0" w:color="auto"/>
                                    <w:right w:val="none" w:sz="0" w:space="0" w:color="auto"/>
                                  </w:divBdr>
                                </w:div>
                                <w:div w:id="376901934">
                                  <w:marLeft w:val="0"/>
                                  <w:marRight w:val="0"/>
                                  <w:marTop w:val="0"/>
                                  <w:marBottom w:val="0"/>
                                  <w:divBdr>
                                    <w:top w:val="none" w:sz="0" w:space="0" w:color="auto"/>
                                    <w:left w:val="none" w:sz="0" w:space="0" w:color="auto"/>
                                    <w:bottom w:val="none" w:sz="0" w:space="0" w:color="auto"/>
                                    <w:right w:val="none" w:sz="0" w:space="0" w:color="auto"/>
                                  </w:divBdr>
                                </w:div>
                                <w:div w:id="887188579">
                                  <w:marLeft w:val="0"/>
                                  <w:marRight w:val="0"/>
                                  <w:marTop w:val="0"/>
                                  <w:marBottom w:val="0"/>
                                  <w:divBdr>
                                    <w:top w:val="none" w:sz="0" w:space="0" w:color="auto"/>
                                    <w:left w:val="none" w:sz="0" w:space="0" w:color="auto"/>
                                    <w:bottom w:val="none" w:sz="0" w:space="0" w:color="auto"/>
                                    <w:right w:val="none" w:sz="0" w:space="0" w:color="auto"/>
                                  </w:divBdr>
                                  <w:divsChild>
                                    <w:div w:id="1914662280">
                                      <w:marLeft w:val="0"/>
                                      <w:marRight w:val="0"/>
                                      <w:marTop w:val="0"/>
                                      <w:marBottom w:val="0"/>
                                      <w:divBdr>
                                        <w:top w:val="none" w:sz="0" w:space="0" w:color="auto"/>
                                        <w:left w:val="none" w:sz="0" w:space="0" w:color="auto"/>
                                        <w:bottom w:val="none" w:sz="0" w:space="0" w:color="auto"/>
                                        <w:right w:val="none" w:sz="0" w:space="0" w:color="auto"/>
                                      </w:divBdr>
                                      <w:divsChild>
                                        <w:div w:id="67659934">
                                          <w:marLeft w:val="0"/>
                                          <w:marRight w:val="0"/>
                                          <w:marTop w:val="0"/>
                                          <w:marBottom w:val="0"/>
                                          <w:divBdr>
                                            <w:top w:val="none" w:sz="0" w:space="0" w:color="auto"/>
                                            <w:left w:val="none" w:sz="0" w:space="0" w:color="auto"/>
                                            <w:bottom w:val="none" w:sz="0" w:space="0" w:color="auto"/>
                                            <w:right w:val="none" w:sz="0" w:space="0" w:color="auto"/>
                                          </w:divBdr>
                                        </w:div>
                                        <w:div w:id="1289974317">
                                          <w:marLeft w:val="0"/>
                                          <w:marRight w:val="0"/>
                                          <w:marTop w:val="0"/>
                                          <w:marBottom w:val="0"/>
                                          <w:divBdr>
                                            <w:top w:val="none" w:sz="0" w:space="0" w:color="auto"/>
                                            <w:left w:val="none" w:sz="0" w:space="0" w:color="auto"/>
                                            <w:bottom w:val="none" w:sz="0" w:space="0" w:color="auto"/>
                                            <w:right w:val="none" w:sz="0" w:space="0" w:color="auto"/>
                                          </w:divBdr>
                                        </w:div>
                                        <w:div w:id="1473525786">
                                          <w:marLeft w:val="0"/>
                                          <w:marRight w:val="0"/>
                                          <w:marTop w:val="0"/>
                                          <w:marBottom w:val="0"/>
                                          <w:divBdr>
                                            <w:top w:val="none" w:sz="0" w:space="0" w:color="auto"/>
                                            <w:left w:val="none" w:sz="0" w:space="0" w:color="auto"/>
                                            <w:bottom w:val="none" w:sz="0" w:space="0" w:color="auto"/>
                                            <w:right w:val="none" w:sz="0" w:space="0" w:color="auto"/>
                                          </w:divBdr>
                                        </w:div>
                                        <w:div w:id="1668972161">
                                          <w:marLeft w:val="0"/>
                                          <w:marRight w:val="0"/>
                                          <w:marTop w:val="0"/>
                                          <w:marBottom w:val="0"/>
                                          <w:divBdr>
                                            <w:top w:val="none" w:sz="0" w:space="0" w:color="auto"/>
                                            <w:left w:val="none" w:sz="0" w:space="0" w:color="auto"/>
                                            <w:bottom w:val="none" w:sz="0" w:space="0" w:color="auto"/>
                                            <w:right w:val="none" w:sz="0" w:space="0" w:color="auto"/>
                                          </w:divBdr>
                                        </w:div>
                                        <w:div w:id="1824201556">
                                          <w:marLeft w:val="0"/>
                                          <w:marRight w:val="0"/>
                                          <w:marTop w:val="0"/>
                                          <w:marBottom w:val="0"/>
                                          <w:divBdr>
                                            <w:top w:val="none" w:sz="0" w:space="0" w:color="auto"/>
                                            <w:left w:val="none" w:sz="0" w:space="0" w:color="auto"/>
                                            <w:bottom w:val="none" w:sz="0" w:space="0" w:color="auto"/>
                                            <w:right w:val="none" w:sz="0" w:space="0" w:color="auto"/>
                                          </w:divBdr>
                                          <w:divsChild>
                                            <w:div w:id="1243904240">
                                              <w:marLeft w:val="0"/>
                                              <w:marRight w:val="0"/>
                                              <w:marTop w:val="0"/>
                                              <w:marBottom w:val="0"/>
                                              <w:divBdr>
                                                <w:top w:val="none" w:sz="0" w:space="0" w:color="auto"/>
                                                <w:left w:val="none" w:sz="0" w:space="0" w:color="auto"/>
                                                <w:bottom w:val="none" w:sz="0" w:space="0" w:color="auto"/>
                                                <w:right w:val="none" w:sz="0" w:space="0" w:color="auto"/>
                                              </w:divBdr>
                                            </w:div>
                                            <w:div w:id="425543458">
                                              <w:marLeft w:val="0"/>
                                              <w:marRight w:val="0"/>
                                              <w:marTop w:val="0"/>
                                              <w:marBottom w:val="0"/>
                                              <w:divBdr>
                                                <w:top w:val="none" w:sz="0" w:space="0" w:color="auto"/>
                                                <w:left w:val="none" w:sz="0" w:space="0" w:color="auto"/>
                                                <w:bottom w:val="none" w:sz="0" w:space="0" w:color="auto"/>
                                                <w:right w:val="none" w:sz="0" w:space="0" w:color="auto"/>
                                              </w:divBdr>
                                              <w:divsChild>
                                                <w:div w:id="1172799467">
                                                  <w:marLeft w:val="0"/>
                                                  <w:marRight w:val="0"/>
                                                  <w:marTop w:val="0"/>
                                                  <w:marBottom w:val="0"/>
                                                  <w:divBdr>
                                                    <w:top w:val="none" w:sz="0" w:space="0" w:color="auto"/>
                                                    <w:left w:val="none" w:sz="0" w:space="0" w:color="auto"/>
                                                    <w:bottom w:val="none" w:sz="0" w:space="0" w:color="auto"/>
                                                    <w:right w:val="none" w:sz="0" w:space="0" w:color="auto"/>
                                                  </w:divBdr>
                                                </w:div>
                                              </w:divsChild>
                                            </w:div>
                                            <w:div w:id="795759294">
                                              <w:marLeft w:val="0"/>
                                              <w:marRight w:val="0"/>
                                              <w:marTop w:val="0"/>
                                              <w:marBottom w:val="0"/>
                                              <w:divBdr>
                                                <w:top w:val="none" w:sz="0" w:space="0" w:color="auto"/>
                                                <w:left w:val="none" w:sz="0" w:space="0" w:color="auto"/>
                                                <w:bottom w:val="none" w:sz="0" w:space="0" w:color="auto"/>
                                                <w:right w:val="none" w:sz="0" w:space="0" w:color="auto"/>
                                              </w:divBdr>
                                              <w:divsChild>
                                                <w:div w:id="290788298">
                                                  <w:marLeft w:val="0"/>
                                                  <w:marRight w:val="0"/>
                                                  <w:marTop w:val="0"/>
                                                  <w:marBottom w:val="0"/>
                                                  <w:divBdr>
                                                    <w:top w:val="none" w:sz="0" w:space="0" w:color="auto"/>
                                                    <w:left w:val="none" w:sz="0" w:space="0" w:color="auto"/>
                                                    <w:bottom w:val="none" w:sz="0" w:space="0" w:color="auto"/>
                                                    <w:right w:val="none" w:sz="0" w:space="0" w:color="auto"/>
                                                  </w:divBdr>
                                                  <w:divsChild>
                                                    <w:div w:id="190001479">
                                                      <w:marLeft w:val="0"/>
                                                      <w:marRight w:val="0"/>
                                                      <w:marTop w:val="0"/>
                                                      <w:marBottom w:val="0"/>
                                                      <w:divBdr>
                                                        <w:top w:val="none" w:sz="0" w:space="0" w:color="auto"/>
                                                        <w:left w:val="none" w:sz="0" w:space="0" w:color="auto"/>
                                                        <w:bottom w:val="none" w:sz="0" w:space="0" w:color="auto"/>
                                                        <w:right w:val="none" w:sz="0" w:space="0" w:color="auto"/>
                                                      </w:divBdr>
                                                    </w:div>
                                                    <w:div w:id="516701938">
                                                      <w:marLeft w:val="0"/>
                                                      <w:marRight w:val="0"/>
                                                      <w:marTop w:val="0"/>
                                                      <w:marBottom w:val="0"/>
                                                      <w:divBdr>
                                                        <w:top w:val="none" w:sz="0" w:space="0" w:color="auto"/>
                                                        <w:left w:val="none" w:sz="0" w:space="0" w:color="auto"/>
                                                        <w:bottom w:val="none" w:sz="0" w:space="0" w:color="auto"/>
                                                        <w:right w:val="none" w:sz="0" w:space="0" w:color="auto"/>
                                                      </w:divBdr>
                                                    </w:div>
                                                    <w:div w:id="1495949368">
                                                      <w:marLeft w:val="0"/>
                                                      <w:marRight w:val="0"/>
                                                      <w:marTop w:val="0"/>
                                                      <w:marBottom w:val="0"/>
                                                      <w:divBdr>
                                                        <w:top w:val="none" w:sz="0" w:space="0" w:color="auto"/>
                                                        <w:left w:val="none" w:sz="0" w:space="0" w:color="auto"/>
                                                        <w:bottom w:val="none" w:sz="0" w:space="0" w:color="auto"/>
                                                        <w:right w:val="none" w:sz="0" w:space="0" w:color="auto"/>
                                                      </w:divBdr>
                                                    </w:div>
                                                    <w:div w:id="179929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catalyst.com/success_stories/how-to-reduce-heart-failure-readmission-rates" TargetMode="External"/><Relationship Id="rId18" Type="http://schemas.openxmlformats.org/officeDocument/2006/relationships/hyperlink" Target="https://www.slideshare.net/healthcatalyst1" TargetMode="External"/><Relationship Id="rId26" Type="http://schemas.openxmlformats.org/officeDocument/2006/relationships/hyperlink" Target="https://www.leapfroggroup.org/" TargetMode="External"/><Relationship Id="rId39" Type="http://schemas.openxmlformats.org/officeDocument/2006/relationships/hyperlink" Target="https://www.healthcatalyst.com/success_stories/reduce-hospital-readmission-rates-utmb" TargetMode="External"/><Relationship Id="rId3" Type="http://schemas.openxmlformats.org/officeDocument/2006/relationships/settings" Target="settings.xml"/><Relationship Id="rId21" Type="http://schemas.openxmlformats.org/officeDocument/2006/relationships/hyperlink" Target="https://www.healthcatalyst.com/authors/bryan-oshiro-md" TargetMode="External"/><Relationship Id="rId34" Type="http://schemas.openxmlformats.org/officeDocument/2006/relationships/hyperlink" Target="https://www.healthcatalyst.com/success_stories/pneumonia-mortality-piedmont" TargetMode="External"/><Relationship Id="rId42" Type="http://schemas.openxmlformats.org/officeDocument/2006/relationships/hyperlink" Target="https://www.dartmouthatlas.org/" TargetMode="External"/><Relationship Id="rId47" Type="http://schemas.openxmlformats.org/officeDocument/2006/relationships/hyperlink" Target="https://www.leapfroggroup.org/" TargetMode="External"/><Relationship Id="rId7" Type="http://schemas.openxmlformats.org/officeDocument/2006/relationships/hyperlink" Target="https://www.ahrq.gov/professionals/quality-patient-safety/talkingquality/create/types.html" TargetMode="External"/><Relationship Id="rId12" Type="http://schemas.openxmlformats.org/officeDocument/2006/relationships/hyperlink" Target="https://www.healthcatalyst.com/success_stories/how-to-reduce-sepsis-mortality-rates-by-22" TargetMode="External"/><Relationship Id="rId17" Type="http://schemas.openxmlformats.org/officeDocument/2006/relationships/hyperlink" Target="https://www.slideshare.net/healthcatalyst1/why-process-measures-are-often-more-important-than-outcome-measures-in-healthcare-42485462" TargetMode="External"/><Relationship Id="rId25" Type="http://schemas.openxmlformats.org/officeDocument/2006/relationships/hyperlink" Target="https://www.who.int/en/" TargetMode="External"/><Relationship Id="rId33" Type="http://schemas.openxmlformats.org/officeDocument/2006/relationships/hyperlink" Target="https://www.healthcatalyst.com/insights/top-7-healthcare-outcome-measures" TargetMode="External"/><Relationship Id="rId38" Type="http://schemas.openxmlformats.org/officeDocument/2006/relationships/hyperlink" Target="https://www.healthcatalyst.com/success-stories/reduce-hospital-readmission-rates-utmb" TargetMode="External"/><Relationship Id="rId46" Type="http://schemas.openxmlformats.org/officeDocument/2006/relationships/hyperlink" Target="https://www.in.gov/isdh/files/Braden_Scale.pdf" TargetMode="External"/><Relationship Id="rId2" Type="http://schemas.openxmlformats.org/officeDocument/2006/relationships/styles" Target="styles.xml"/><Relationship Id="rId16" Type="http://schemas.openxmlformats.org/officeDocument/2006/relationships/hyperlink" Target="https://www.slideshare.net/healthcatalyst1/why-process-measures-are-often-more-important-than-outcome-measures-in-healthcare-42485462" TargetMode="External"/><Relationship Id="rId20" Type="http://schemas.openxmlformats.org/officeDocument/2006/relationships/image" Target="media/image2.jpeg"/><Relationship Id="rId29" Type="http://schemas.openxmlformats.org/officeDocument/2006/relationships/hyperlink" Target="https://www.jointcommission.org/" TargetMode="External"/><Relationship Id="rId41" Type="http://schemas.openxmlformats.org/officeDocument/2006/relationships/hyperlink" Target="https://www.healthcatalyst.com/insights/process-vs-outcome-measures-healthcare" TargetMode="External"/><Relationship Id="rId1" Type="http://schemas.openxmlformats.org/officeDocument/2006/relationships/numbering" Target="numbering.xml"/><Relationship Id="rId6" Type="http://schemas.openxmlformats.org/officeDocument/2006/relationships/hyperlink" Target="https://herzing.instructure.com/courses/30056/files/7150484/download?download_frd=1" TargetMode="External"/><Relationship Id="rId11" Type="http://schemas.openxmlformats.org/officeDocument/2006/relationships/hyperlink" Target="https://www.healthcatalyst.com/insights/top-7-healthcare-outcome-measures" TargetMode="External"/><Relationship Id="rId24" Type="http://schemas.openxmlformats.org/officeDocument/2006/relationships/hyperlink" Target="http://www.ihi.org/Pages/default.aspx" TargetMode="External"/><Relationship Id="rId32" Type="http://schemas.openxmlformats.org/officeDocument/2006/relationships/hyperlink" Target="https://www.medicare.gov/hospitalcompare/Data/Measure-groups.html" TargetMode="External"/><Relationship Id="rId37" Type="http://schemas.openxmlformats.org/officeDocument/2006/relationships/hyperlink" Target="https://www.healthcatalyst.com/success_stories/healthcare-transformation-texas-childrens-hospital" TargetMode="External"/><Relationship Id="rId40" Type="http://schemas.openxmlformats.org/officeDocument/2006/relationships/hyperlink" Target="https://www.aci.health.nsw.gov.au/make-it-happen/prms/about-patient-reported-measures" TargetMode="External"/><Relationship Id="rId45" Type="http://schemas.openxmlformats.org/officeDocument/2006/relationships/hyperlink" Target="https://www.healthcatalyst.com/success_stories/launching-an-enterprise-data-warehouse-to-rapidly-reduce-waste-in-asthma-care" TargetMode="External"/><Relationship Id="rId5" Type="http://schemas.openxmlformats.org/officeDocument/2006/relationships/hyperlink" Target="https://herzing.instructure.com/courses/30056/files/7150484?wrap=1" TargetMode="External"/><Relationship Id="rId15" Type="http://schemas.openxmlformats.org/officeDocument/2006/relationships/hyperlink" Target="https://www.gartner.com/document/2849919?ref=solrAll&amp;refval=188611392&amp;qid=82f7c014d82de9f7f44683fe323783bf" TargetMode="External"/><Relationship Id="rId23" Type="http://schemas.openxmlformats.org/officeDocument/2006/relationships/hyperlink" Target="http://www.ihi.org/engage/initiatives/tripleaim/Pages/default.aspx" TargetMode="External"/><Relationship Id="rId28" Type="http://schemas.openxmlformats.org/officeDocument/2006/relationships/hyperlink" Target="https://www.cms.gov/" TargetMode="External"/><Relationship Id="rId36" Type="http://schemas.openxmlformats.org/officeDocument/2006/relationships/hyperlink" Target="https://www.healthcatalyst.com/insights/clinical-data-repository-data-warehouse" TargetMode="External"/><Relationship Id="rId49" Type="http://schemas.openxmlformats.org/officeDocument/2006/relationships/theme" Target="theme/theme1.xml"/><Relationship Id="rId10" Type="http://schemas.openxmlformats.org/officeDocument/2006/relationships/hyperlink" Target="https://www.healthcatalyst.com/linking-clinical-and-financial-data/" TargetMode="External"/><Relationship Id="rId19" Type="http://schemas.openxmlformats.org/officeDocument/2006/relationships/hyperlink" Target="https://www.healthcatalyst.com/authors/bryan-oshiro-md" TargetMode="External"/><Relationship Id="rId31" Type="http://schemas.openxmlformats.org/officeDocument/2006/relationships/hyperlink" Target="https://www.healthcatalyst.com/insights/use-data-improve-patient-safety" TargetMode="External"/><Relationship Id="rId44" Type="http://schemas.openxmlformats.org/officeDocument/2006/relationships/hyperlink" Target="http://www.esf.org/" TargetMode="External"/><Relationship Id="rId4" Type="http://schemas.openxmlformats.org/officeDocument/2006/relationships/webSettings" Target="webSettings.xml"/><Relationship Id="rId9" Type="http://schemas.openxmlformats.org/officeDocument/2006/relationships/hyperlink" Target="http://www.esourceresearch.org/eSourceBook/EvaluatingtheQualityofHealthCare/7StructureMeasures/tabid/81" TargetMode="External"/><Relationship Id="rId14" Type="http://schemas.openxmlformats.org/officeDocument/2006/relationships/image" Target="media/image1.png"/><Relationship Id="rId22" Type="http://schemas.openxmlformats.org/officeDocument/2006/relationships/hyperlink" Target="http://www.ihi.org/communities/blogs/the-triple-aim-or-the-quadruple-aim-four-points-to-help-set-your-strategy" TargetMode="External"/><Relationship Id="rId27" Type="http://schemas.openxmlformats.org/officeDocument/2006/relationships/hyperlink" Target="https://www.hospitalsafetygrade.org/what-is-patient-safety/errors-injuries-accidents-infections" TargetMode="External"/><Relationship Id="rId30" Type="http://schemas.openxmlformats.org/officeDocument/2006/relationships/hyperlink" Target="https://nahq.org/" TargetMode="External"/><Relationship Id="rId35" Type="http://schemas.openxmlformats.org/officeDocument/2006/relationships/hyperlink" Target="https://www.texaschildrens.org/" TargetMode="External"/><Relationship Id="rId43" Type="http://schemas.openxmlformats.org/officeDocument/2006/relationships/hyperlink" Target="https://www.healthcatalyst.com/success_stories/emergency-department-triage-mission-health" TargetMode="External"/><Relationship Id="rId48" Type="http://schemas.openxmlformats.org/officeDocument/2006/relationships/fontTable" Target="fontTable.xml"/><Relationship Id="rId8" Type="http://schemas.openxmlformats.org/officeDocument/2006/relationships/hyperlink" Target="http://familiesusa.org/sites/default/files/product_documents/HSI%20Quality%20Measurement_Brief_final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5428</Words>
  <Characters>30945</Characters>
  <Application>Microsoft Office Word</Application>
  <DocSecurity>0</DocSecurity>
  <Lines>257</Lines>
  <Paragraphs>72</Paragraphs>
  <ScaleCrop>false</ScaleCrop>
  <Company/>
  <LinksUpToDate>false</LinksUpToDate>
  <CharactersWithSpaces>36301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2023-09-19T08:31:00Z</dcterms:created>
  <dcterms:modified xsi:type="dcterms:W3CDTF">2023-09-19T08:31:00Z</dcterms:modified>
</cp:coreProperties>
</file>