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4A9" w:rsidRPr="003954A9" w:rsidRDefault="003954A9" w:rsidP="003954A9">
      <w:pPr>
        <w:spacing w:before="300" w:line="450" w:lineRule="atLeast"/>
        <w:ind w:firstLine="245"/>
        <w:outlineLvl w:val="1"/>
        <w:rPr>
          <w:rFonts w:ascii="Helvetica" w:eastAsia="Times New Roman" w:hAnsi="Helvetica" w:cs="Helvetica"/>
          <w:caps/>
          <w:kern w:val="0"/>
          <w:sz w:val="43"/>
          <w:szCs w:val="43"/>
        </w:rPr>
      </w:pPr>
      <w:r w:rsidRPr="003954A9">
        <w:rPr>
          <w:rFonts w:ascii="Helvetica" w:eastAsia="Times New Roman" w:hAnsi="Helvetica" w:cs="Helvetica"/>
          <w:caps/>
          <w:kern w:val="0"/>
          <w:sz w:val="48"/>
          <w:szCs w:val="48"/>
        </w:rPr>
        <w:t>TRANSLATION OF EVIDENCE AND APPLICATION</w:t>
      </w:r>
    </w:p>
    <w:p w:rsidR="003954A9" w:rsidRPr="003954A9" w:rsidRDefault="003954A9" w:rsidP="003954A9">
      <w:pPr>
        <w:spacing w:after="0" w:line="240" w:lineRule="auto"/>
        <w:rPr>
          <w:rFonts w:ascii="Times New Roman" w:eastAsia="Times New Roman" w:hAnsi="Times New Roman" w:cs="Times New Roman"/>
          <w:kern w:val="0"/>
          <w:sz w:val="24"/>
          <w:szCs w:val="24"/>
        </w:rPr>
      </w:pPr>
      <w:r w:rsidRPr="003954A9">
        <w:rPr>
          <w:rFonts w:ascii="Times New Roman" w:eastAsia="Times New Roman" w:hAnsi="Times New Roman" w:cs="Times New Roman"/>
          <w:noProof/>
          <w:color w:val="0000FF"/>
          <w:kern w:val="0"/>
          <w:sz w:val="24"/>
          <w:szCs w:val="24"/>
        </w:rPr>
        <w:drawing>
          <wp:inline distT="0" distB="0" distL="0" distR="0">
            <wp:extent cx="3048000" cy="1714500"/>
            <wp:effectExtent l="0" t="0" r="0" b="0"/>
            <wp:docPr id="1936147486" name="Picture 2" descr="A cell structure">
              <a:hlinkClick xmlns:a="http://schemas.openxmlformats.org/drawingml/2006/main" r:id="rId5" tooltip="&quot;A cell structu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ell structure">
                      <a:hlinkClick r:id="rId5" tooltip="&quot;A cell structure&quot;"/>
                    </pic:cNvPr>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0" cy="1714500"/>
                    </a:xfrm>
                    <a:prstGeom prst="rect">
                      <a:avLst/>
                    </a:prstGeom>
                    <a:noFill/>
                    <a:ln>
                      <a:noFill/>
                    </a:ln>
                  </pic:spPr>
                </pic:pic>
              </a:graphicData>
            </a:graphic>
          </wp:inline>
        </w:drawing>
      </w:r>
      <w:r w:rsidRPr="003954A9">
        <w:rPr>
          <w:rFonts w:ascii="Times New Roman" w:eastAsia="Times New Roman" w:hAnsi="Times New Roman" w:cs="Times New Roman"/>
          <w:kern w:val="0"/>
          <w:sz w:val="24"/>
          <w:szCs w:val="24"/>
        </w:rPr>
        <w:t xml:space="preserve">Based on your work in previous modules, you will wrap up the course with a Discussion on challenges in translating and applying evidence to implement a quality improvement initiative. Draw on your experience in your current or previous </w:t>
      </w:r>
      <w:r>
        <w:rPr>
          <w:rFonts w:ascii="Times New Roman" w:eastAsia="Times New Roman" w:hAnsi="Times New Roman" w:cs="Times New Roman"/>
          <w:kern w:val="0"/>
          <w:sz w:val="24"/>
          <w:szCs w:val="24"/>
        </w:rPr>
        <w:t>healthcare</w:t>
      </w:r>
      <w:r w:rsidRPr="003954A9">
        <w:rPr>
          <w:rFonts w:ascii="Times New Roman" w:eastAsia="Times New Roman" w:hAnsi="Times New Roman" w:cs="Times New Roman"/>
          <w:kern w:val="0"/>
          <w:sz w:val="24"/>
          <w:szCs w:val="24"/>
        </w:rPr>
        <w:t xml:space="preserve"> settings to consider specific barriers to address and opportunities to leverage in advocating for evidence-based practice quality improvement. </w:t>
      </w:r>
    </w:p>
    <w:p w:rsidR="003954A9" w:rsidRPr="003954A9" w:rsidRDefault="003954A9" w:rsidP="003954A9">
      <w:pPr>
        <w:spacing w:before="180" w:after="180" w:line="240" w:lineRule="auto"/>
        <w:rPr>
          <w:rFonts w:ascii="Times New Roman" w:eastAsia="Times New Roman" w:hAnsi="Times New Roman" w:cs="Times New Roman"/>
          <w:kern w:val="0"/>
          <w:sz w:val="24"/>
          <w:szCs w:val="24"/>
        </w:rPr>
      </w:pPr>
      <w:r w:rsidRPr="003954A9">
        <w:rPr>
          <w:rFonts w:ascii="Times New Roman" w:eastAsia="Times New Roman" w:hAnsi="Times New Roman" w:cs="Times New Roman"/>
          <w:kern w:val="0"/>
          <w:sz w:val="24"/>
          <w:szCs w:val="24"/>
        </w:rPr>
        <w:t> </w:t>
      </w:r>
      <w:r w:rsidRPr="003954A9">
        <w:rPr>
          <w:rFonts w:ascii="Helvetica" w:eastAsia="Times New Roman" w:hAnsi="Helvetica" w:cs="Helvetica"/>
          <w:caps/>
          <w:kern w:val="0"/>
          <w:sz w:val="36"/>
          <w:szCs w:val="36"/>
        </w:rPr>
        <w:t>RESOURCES</w:t>
      </w:r>
      <w:r w:rsidR="00EF69CB" w:rsidRPr="00EF69CB">
        <w:rPr>
          <w:rFonts w:ascii="Times New Roman" w:eastAsia="Times New Roman" w:hAnsi="Times New Roman" w:cs="Times New Roman"/>
          <w:noProof/>
          <w:color w:val="000000"/>
          <w:kern w:val="0"/>
          <w:sz w:val="24"/>
          <w:szCs w:val="24"/>
        </w:rPr>
      </w:r>
      <w:r w:rsidR="00EF69CB" w:rsidRPr="00EF69CB">
        <w:rPr>
          <w:rFonts w:ascii="Times New Roman" w:eastAsia="Times New Roman" w:hAnsi="Times New Roman" w:cs="Times New Roman"/>
          <w:noProof/>
          <w:color w:val="000000"/>
          <w:kern w:val="0"/>
          <w:sz w:val="24"/>
          <w:szCs w:val="24"/>
        </w:rPr>
        <w:pict>
          <v:rect id="Rectangl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3954A9" w:rsidRPr="003954A9" w:rsidRDefault="003954A9" w:rsidP="003954A9">
      <w:pPr>
        <w:shd w:val="clear" w:color="auto" w:fill="ECF0F1"/>
        <w:spacing w:before="180" w:after="0" w:line="240" w:lineRule="auto"/>
        <w:rPr>
          <w:rFonts w:ascii="Times New Roman" w:eastAsia="Times New Roman" w:hAnsi="Times New Roman" w:cs="Times New Roman"/>
          <w:color w:val="000000"/>
          <w:kern w:val="0"/>
          <w:sz w:val="24"/>
          <w:szCs w:val="24"/>
        </w:rPr>
      </w:pPr>
      <w:r w:rsidRPr="003954A9">
        <w:rPr>
          <w:rFonts w:ascii="Times New Roman" w:eastAsia="Times New Roman" w:hAnsi="Times New Roman" w:cs="Times New Roman"/>
          <w:color w:val="000000"/>
          <w:kern w:val="0"/>
          <w:sz w:val="24"/>
          <w:szCs w:val="24"/>
        </w:rPr>
        <w:t>Be sure to review the Learning Resources before completing this activity.</w:t>
      </w:r>
      <w:r w:rsidRPr="003954A9">
        <w:rPr>
          <w:rFonts w:ascii="Times New Roman" w:eastAsia="Times New Roman" w:hAnsi="Times New Roman" w:cs="Times New Roman"/>
          <w:color w:val="000000"/>
          <w:kern w:val="0"/>
          <w:sz w:val="24"/>
          <w:szCs w:val="24"/>
        </w:rPr>
        <w:br/>
        <w:t>Click the weekly resources link to access the resources. </w:t>
      </w:r>
    </w:p>
    <w:p w:rsidR="003954A9" w:rsidRDefault="00EF69CB" w:rsidP="003954A9">
      <w:pPr>
        <w:shd w:val="clear" w:color="auto" w:fill="ECF0F1"/>
        <w:spacing w:before="180" w:line="240" w:lineRule="auto"/>
        <w:rPr>
          <w:rFonts w:ascii="Times New Roman" w:eastAsia="Times New Roman" w:hAnsi="Times New Roman" w:cs="Times New Roman"/>
          <w:b/>
          <w:bCs/>
          <w:color w:val="000000"/>
          <w:kern w:val="0"/>
          <w:sz w:val="24"/>
          <w:szCs w:val="24"/>
        </w:rPr>
      </w:pPr>
      <w:hyperlink r:id="rId7" w:tgtFrame="_blank" w:tooltip="Click this link to access the weekly resources (open in a new tab)" w:history="1">
        <w:r w:rsidR="003954A9" w:rsidRPr="003954A9">
          <w:rPr>
            <w:rFonts w:ascii="Arial" w:eastAsia="Times New Roman" w:hAnsi="Arial" w:cs="Arial"/>
            <w:b/>
            <w:bCs/>
            <w:color w:val="003B4C"/>
            <w:kern w:val="0"/>
            <w:sz w:val="24"/>
            <w:szCs w:val="24"/>
            <w:bdr w:val="single" w:sz="12" w:space="2" w:color="003B4C" w:frame="1"/>
          </w:rPr>
          <w:t>WEEKLY RESOURCES</w:t>
        </w:r>
      </w:hyperlink>
    </w:p>
    <w:p w:rsidR="003954A9" w:rsidRPr="003954A9" w:rsidRDefault="003954A9" w:rsidP="003954A9">
      <w:pPr>
        <w:numPr>
          <w:ilvl w:val="0"/>
          <w:numId w:val="2"/>
        </w:numPr>
        <w:spacing w:before="180" w:after="180" w:line="240" w:lineRule="auto"/>
        <w:ind w:left="1095"/>
        <w:rPr>
          <w:rFonts w:ascii="Helvetica" w:eastAsia="Times New Roman" w:hAnsi="Helvetica" w:cs="Helvetica"/>
          <w:color w:val="2D3B45"/>
          <w:kern w:val="0"/>
          <w:sz w:val="24"/>
          <w:szCs w:val="24"/>
        </w:rPr>
      </w:pPr>
      <w:r w:rsidRPr="003954A9">
        <w:rPr>
          <w:rFonts w:ascii="Helvetica" w:eastAsia="Times New Roman" w:hAnsi="Helvetica" w:cs="Helvetica"/>
          <w:color w:val="2D3B45"/>
          <w:kern w:val="0"/>
          <w:sz w:val="24"/>
          <w:szCs w:val="24"/>
        </w:rPr>
        <w:t>White, K. M., Dudley-Brown, S., &amp;</w:t>
      </w:r>
      <w:proofErr w:type="spellStart"/>
      <w:r w:rsidRPr="003954A9">
        <w:rPr>
          <w:rFonts w:ascii="Helvetica" w:eastAsia="Times New Roman" w:hAnsi="Helvetica" w:cs="Helvetica"/>
          <w:color w:val="2D3B45"/>
          <w:kern w:val="0"/>
          <w:sz w:val="24"/>
          <w:szCs w:val="24"/>
        </w:rPr>
        <w:t>Terhaar</w:t>
      </w:r>
      <w:proofErr w:type="spellEnd"/>
      <w:r w:rsidRPr="003954A9">
        <w:rPr>
          <w:rFonts w:ascii="Helvetica" w:eastAsia="Times New Roman" w:hAnsi="Helvetica" w:cs="Helvetica"/>
          <w:color w:val="2D3B45"/>
          <w:kern w:val="0"/>
          <w:sz w:val="24"/>
          <w:szCs w:val="24"/>
        </w:rPr>
        <w:t>, M. F. (Eds.). (2019). </w:t>
      </w:r>
      <w:r w:rsidRPr="003954A9">
        <w:rPr>
          <w:rFonts w:ascii="Helvetica" w:eastAsia="Times New Roman" w:hAnsi="Helvetica" w:cs="Helvetica"/>
          <w:i/>
          <w:iCs/>
          <w:color w:val="2D3B45"/>
          <w:kern w:val="0"/>
          <w:sz w:val="24"/>
          <w:szCs w:val="24"/>
        </w:rPr>
        <w:t>Translation of evidence into nursing and healthcare</w:t>
      </w:r>
      <w:r w:rsidRPr="003954A9">
        <w:rPr>
          <w:rFonts w:ascii="Helvetica" w:eastAsia="Times New Roman" w:hAnsi="Helvetica" w:cs="Helvetica"/>
          <w:color w:val="2D3B45"/>
          <w:kern w:val="0"/>
          <w:sz w:val="24"/>
          <w:szCs w:val="24"/>
        </w:rPr>
        <w:t> (3rd ed.). Springer.</w:t>
      </w:r>
    </w:p>
    <w:p w:rsidR="003954A9" w:rsidRPr="003954A9" w:rsidRDefault="003954A9" w:rsidP="003954A9">
      <w:pPr>
        <w:numPr>
          <w:ilvl w:val="1"/>
          <w:numId w:val="2"/>
        </w:numPr>
        <w:spacing w:before="100" w:beforeAutospacing="1" w:after="298" w:line="240" w:lineRule="auto"/>
        <w:ind w:left="2190"/>
        <w:rPr>
          <w:rFonts w:ascii="Helvetica" w:eastAsia="Times New Roman" w:hAnsi="Helvetica" w:cs="Helvetica"/>
          <w:color w:val="2D3B45"/>
          <w:kern w:val="0"/>
          <w:sz w:val="24"/>
          <w:szCs w:val="24"/>
        </w:rPr>
      </w:pPr>
      <w:r w:rsidRPr="003954A9">
        <w:rPr>
          <w:rFonts w:ascii="Helvetica" w:eastAsia="Times New Roman" w:hAnsi="Helvetica" w:cs="Helvetica"/>
          <w:color w:val="2D3B45"/>
          <w:kern w:val="0"/>
          <w:sz w:val="24"/>
          <w:szCs w:val="24"/>
        </w:rPr>
        <w:t>Chapter 15, “Interprofessional Collaboration and Teamwork for Translation” (pp. 299–314)</w:t>
      </w:r>
    </w:p>
    <w:p w:rsidR="003954A9" w:rsidRPr="003954A9" w:rsidRDefault="003954A9" w:rsidP="003954A9">
      <w:pPr>
        <w:numPr>
          <w:ilvl w:val="1"/>
          <w:numId w:val="2"/>
        </w:numPr>
        <w:spacing w:before="100" w:beforeAutospacing="1" w:after="298" w:line="240" w:lineRule="auto"/>
        <w:ind w:left="2190"/>
        <w:rPr>
          <w:rFonts w:ascii="Helvetica" w:eastAsia="Times New Roman" w:hAnsi="Helvetica" w:cs="Helvetica"/>
          <w:color w:val="2D3B45"/>
          <w:kern w:val="0"/>
          <w:sz w:val="24"/>
          <w:szCs w:val="24"/>
        </w:rPr>
      </w:pPr>
      <w:r w:rsidRPr="003954A9">
        <w:rPr>
          <w:rFonts w:ascii="Helvetica" w:eastAsia="Times New Roman" w:hAnsi="Helvetica" w:cs="Helvetica"/>
          <w:color w:val="2D3B45"/>
          <w:kern w:val="0"/>
          <w:sz w:val="24"/>
          <w:szCs w:val="24"/>
        </w:rPr>
        <w:t>Chapter 16, “Creating a Culture That Promotes Translation” (pp. 315–334)</w:t>
      </w:r>
    </w:p>
    <w:p w:rsidR="003954A9" w:rsidRPr="003954A9" w:rsidRDefault="003954A9" w:rsidP="003954A9">
      <w:pPr>
        <w:numPr>
          <w:ilvl w:val="1"/>
          <w:numId w:val="2"/>
        </w:numPr>
        <w:spacing w:before="100" w:beforeAutospacing="1" w:after="298" w:line="240" w:lineRule="auto"/>
        <w:ind w:left="2190"/>
        <w:rPr>
          <w:rFonts w:ascii="Helvetica" w:eastAsia="Times New Roman" w:hAnsi="Helvetica" w:cs="Helvetica"/>
          <w:color w:val="2D3B45"/>
          <w:kern w:val="0"/>
          <w:sz w:val="24"/>
          <w:szCs w:val="24"/>
        </w:rPr>
      </w:pPr>
      <w:r w:rsidRPr="003954A9">
        <w:rPr>
          <w:rFonts w:ascii="Helvetica" w:eastAsia="Times New Roman" w:hAnsi="Helvetica" w:cs="Helvetica"/>
          <w:color w:val="2D3B45"/>
          <w:kern w:val="0"/>
          <w:sz w:val="24"/>
          <w:szCs w:val="24"/>
        </w:rPr>
        <w:t>Chapter 17, “Best Practices in Translation: Challenges and Barriers in Translation” (pp. 337–346)</w:t>
      </w:r>
    </w:p>
    <w:p w:rsidR="003954A9" w:rsidRPr="003954A9" w:rsidRDefault="003954A9" w:rsidP="003954A9">
      <w:pPr>
        <w:spacing w:before="180" w:after="180" w:line="240" w:lineRule="auto"/>
        <w:rPr>
          <w:rFonts w:ascii="Helvetica" w:eastAsia="Times New Roman" w:hAnsi="Helvetica" w:cs="Helvetica"/>
          <w:color w:val="2D3B45"/>
          <w:kern w:val="0"/>
          <w:sz w:val="24"/>
          <w:szCs w:val="24"/>
        </w:rPr>
      </w:pPr>
      <w:r w:rsidRPr="003954A9">
        <w:rPr>
          <w:rFonts w:ascii="Helvetica" w:eastAsia="Times New Roman" w:hAnsi="Helvetica" w:cs="Helvetica"/>
          <w:b/>
          <w:bCs/>
          <w:color w:val="2D3B45"/>
          <w:kern w:val="0"/>
          <w:sz w:val="24"/>
          <w:szCs w:val="24"/>
        </w:rPr>
        <w:t>Note: </w:t>
      </w:r>
      <w:r w:rsidRPr="003954A9">
        <w:rPr>
          <w:rFonts w:ascii="Helvetica" w:eastAsia="Times New Roman" w:hAnsi="Helvetica" w:cs="Helvetica"/>
          <w:color w:val="2D3B45"/>
          <w:kern w:val="0"/>
          <w:sz w:val="24"/>
          <w:szCs w:val="24"/>
        </w:rPr>
        <w:t>Read one or more of the following chapters based on the focus of your Discussion post:</w:t>
      </w:r>
    </w:p>
    <w:p w:rsidR="003954A9" w:rsidRPr="003954A9" w:rsidRDefault="003954A9" w:rsidP="003954A9">
      <w:pPr>
        <w:numPr>
          <w:ilvl w:val="0"/>
          <w:numId w:val="3"/>
        </w:numPr>
        <w:spacing w:after="0" w:line="240" w:lineRule="auto"/>
        <w:ind w:left="2190"/>
        <w:rPr>
          <w:rFonts w:ascii="Helvetica" w:eastAsia="Times New Roman" w:hAnsi="Helvetica" w:cs="Helvetica"/>
          <w:color w:val="2D3B45"/>
          <w:kern w:val="0"/>
          <w:sz w:val="24"/>
          <w:szCs w:val="24"/>
        </w:rPr>
      </w:pPr>
    </w:p>
    <w:p w:rsidR="003954A9" w:rsidRPr="003954A9" w:rsidRDefault="003954A9" w:rsidP="003954A9">
      <w:pPr>
        <w:numPr>
          <w:ilvl w:val="1"/>
          <w:numId w:val="3"/>
        </w:numPr>
        <w:spacing w:before="100" w:beforeAutospacing="1" w:after="100" w:afterAutospacing="1" w:line="240" w:lineRule="auto"/>
        <w:ind w:left="2190"/>
        <w:rPr>
          <w:rFonts w:ascii="Helvetica" w:eastAsia="Times New Roman" w:hAnsi="Helvetica" w:cs="Helvetica"/>
          <w:color w:val="2D3B45"/>
          <w:kern w:val="0"/>
          <w:sz w:val="24"/>
          <w:szCs w:val="24"/>
        </w:rPr>
      </w:pPr>
      <w:r w:rsidRPr="003954A9">
        <w:rPr>
          <w:rFonts w:ascii="Helvetica" w:eastAsia="Times New Roman" w:hAnsi="Helvetica" w:cs="Helvetica"/>
          <w:color w:val="2D3B45"/>
          <w:kern w:val="0"/>
          <w:sz w:val="24"/>
          <w:szCs w:val="24"/>
        </w:rPr>
        <w:t>Chapter 5, “Translation of Evidence for Improving Quality and Safety” (pp. 103–123) (Review from Week 10)</w:t>
      </w:r>
    </w:p>
    <w:p w:rsidR="003954A9" w:rsidRPr="003954A9" w:rsidRDefault="003954A9" w:rsidP="003954A9">
      <w:pPr>
        <w:numPr>
          <w:ilvl w:val="1"/>
          <w:numId w:val="3"/>
        </w:numPr>
        <w:spacing w:before="100" w:beforeAutospacing="1" w:after="100" w:afterAutospacing="1" w:line="240" w:lineRule="auto"/>
        <w:ind w:left="2190"/>
        <w:rPr>
          <w:rFonts w:ascii="Helvetica" w:eastAsia="Times New Roman" w:hAnsi="Helvetica" w:cs="Helvetica"/>
          <w:color w:val="2D3B45"/>
          <w:kern w:val="0"/>
          <w:sz w:val="24"/>
          <w:szCs w:val="24"/>
        </w:rPr>
      </w:pPr>
      <w:r w:rsidRPr="003954A9">
        <w:rPr>
          <w:rFonts w:ascii="Helvetica" w:eastAsia="Times New Roman" w:hAnsi="Helvetica" w:cs="Helvetica"/>
          <w:color w:val="2D3B45"/>
          <w:kern w:val="0"/>
          <w:sz w:val="24"/>
          <w:szCs w:val="24"/>
        </w:rPr>
        <w:t>Chapter 6, “Translation of Evidence for Leadership” (pp. 125–147)</w:t>
      </w:r>
    </w:p>
    <w:p w:rsidR="003954A9" w:rsidRPr="003954A9" w:rsidRDefault="003954A9" w:rsidP="003954A9">
      <w:pPr>
        <w:numPr>
          <w:ilvl w:val="1"/>
          <w:numId w:val="3"/>
        </w:numPr>
        <w:spacing w:before="100" w:beforeAutospacing="1" w:after="100" w:afterAutospacing="1" w:line="240" w:lineRule="auto"/>
        <w:ind w:left="2190"/>
        <w:rPr>
          <w:rFonts w:ascii="Helvetica" w:eastAsia="Times New Roman" w:hAnsi="Helvetica" w:cs="Helvetica"/>
          <w:color w:val="2D3B45"/>
          <w:kern w:val="0"/>
          <w:sz w:val="24"/>
          <w:szCs w:val="24"/>
        </w:rPr>
      </w:pPr>
      <w:r w:rsidRPr="003954A9">
        <w:rPr>
          <w:rFonts w:ascii="Helvetica" w:eastAsia="Times New Roman" w:hAnsi="Helvetica" w:cs="Helvetica"/>
          <w:color w:val="2D3B45"/>
          <w:kern w:val="0"/>
          <w:sz w:val="24"/>
          <w:szCs w:val="24"/>
        </w:rPr>
        <w:lastRenderedPageBreak/>
        <w:t>Chapter 14, “Information Technology: A Foundation for Translation” (pp. 287–298)</w:t>
      </w:r>
    </w:p>
    <w:p w:rsidR="003954A9" w:rsidRPr="003954A9" w:rsidRDefault="003954A9" w:rsidP="003954A9">
      <w:pPr>
        <w:shd w:val="clear" w:color="auto" w:fill="ECF0F1"/>
        <w:spacing w:before="180" w:line="240" w:lineRule="auto"/>
        <w:rPr>
          <w:rFonts w:ascii="Times New Roman" w:eastAsia="Times New Roman" w:hAnsi="Times New Roman" w:cs="Times New Roman"/>
          <w:color w:val="000000"/>
          <w:kern w:val="0"/>
          <w:sz w:val="24"/>
          <w:szCs w:val="24"/>
        </w:rPr>
      </w:pPr>
    </w:p>
    <w:p w:rsidR="003954A9" w:rsidRPr="003954A9" w:rsidRDefault="003954A9" w:rsidP="003954A9">
      <w:pPr>
        <w:spacing w:before="180" w:after="180" w:line="240" w:lineRule="auto"/>
        <w:rPr>
          <w:rFonts w:ascii="Times New Roman" w:eastAsia="Times New Roman" w:hAnsi="Times New Roman" w:cs="Times New Roman"/>
          <w:kern w:val="0"/>
          <w:sz w:val="24"/>
          <w:szCs w:val="24"/>
        </w:rPr>
      </w:pPr>
      <w:r w:rsidRPr="003954A9">
        <w:rPr>
          <w:rFonts w:ascii="Times New Roman" w:eastAsia="Times New Roman" w:hAnsi="Times New Roman" w:cs="Times New Roman"/>
          <w:kern w:val="0"/>
          <w:sz w:val="24"/>
          <w:szCs w:val="24"/>
        </w:rPr>
        <w:t> </w:t>
      </w:r>
    </w:p>
    <w:p w:rsidR="003954A9" w:rsidRPr="003954A9" w:rsidRDefault="003954A9" w:rsidP="003954A9">
      <w:pPr>
        <w:pBdr>
          <w:top w:val="single" w:sz="6" w:space="0" w:color="auto"/>
          <w:left w:val="single" w:sz="6" w:space="15" w:color="auto"/>
          <w:bottom w:val="single" w:sz="6" w:space="0" w:color="auto"/>
          <w:right w:val="single" w:sz="6" w:space="31" w:color="auto"/>
        </w:pBdr>
        <w:spacing w:before="150" w:after="450" w:line="525" w:lineRule="atLeast"/>
        <w:ind w:firstLine="122"/>
        <w:outlineLvl w:val="2"/>
        <w:rPr>
          <w:rFonts w:ascii="Helvetica" w:eastAsia="Times New Roman" w:hAnsi="Helvetica" w:cs="Helvetica"/>
          <w:caps/>
          <w:kern w:val="0"/>
          <w:sz w:val="36"/>
          <w:szCs w:val="36"/>
        </w:rPr>
      </w:pPr>
      <w:r w:rsidRPr="003954A9">
        <w:rPr>
          <w:rFonts w:ascii="Helvetica" w:eastAsia="Times New Roman" w:hAnsi="Helvetica" w:cs="Helvetica"/>
          <w:caps/>
          <w:kern w:val="0"/>
          <w:sz w:val="36"/>
          <w:szCs w:val="36"/>
        </w:rPr>
        <w:t>TO PREPARE:</w:t>
      </w:r>
    </w:p>
    <w:p w:rsidR="003954A9" w:rsidRPr="003954A9" w:rsidRDefault="003954A9" w:rsidP="003954A9">
      <w:pPr>
        <w:numPr>
          <w:ilvl w:val="0"/>
          <w:numId w:val="1"/>
        </w:numPr>
        <w:spacing w:before="100" w:beforeAutospacing="1" w:after="100" w:afterAutospacing="1" w:line="240" w:lineRule="auto"/>
        <w:ind w:left="1095"/>
        <w:rPr>
          <w:rFonts w:ascii="Times New Roman" w:eastAsia="Times New Roman" w:hAnsi="Times New Roman" w:cs="Times New Roman"/>
          <w:kern w:val="0"/>
          <w:sz w:val="24"/>
          <w:szCs w:val="24"/>
        </w:rPr>
      </w:pPr>
      <w:r w:rsidRPr="003954A9">
        <w:rPr>
          <w:rFonts w:ascii="Times New Roman" w:eastAsia="Times New Roman" w:hAnsi="Times New Roman" w:cs="Times New Roman"/>
          <w:kern w:val="0"/>
          <w:sz w:val="24"/>
          <w:szCs w:val="24"/>
        </w:rPr>
        <w:t xml:space="preserve">Review the readings in the White, Dudley-Brown, and </w:t>
      </w:r>
      <w:proofErr w:type="spellStart"/>
      <w:r w:rsidRPr="003954A9">
        <w:rPr>
          <w:rFonts w:ascii="Times New Roman" w:eastAsia="Times New Roman" w:hAnsi="Times New Roman" w:cs="Times New Roman"/>
          <w:kern w:val="0"/>
          <w:sz w:val="24"/>
          <w:szCs w:val="24"/>
        </w:rPr>
        <w:t>Terhaar</w:t>
      </w:r>
      <w:proofErr w:type="spellEnd"/>
      <w:r w:rsidRPr="003954A9">
        <w:rPr>
          <w:rFonts w:ascii="Times New Roman" w:eastAsia="Times New Roman" w:hAnsi="Times New Roman" w:cs="Times New Roman"/>
          <w:kern w:val="0"/>
          <w:sz w:val="24"/>
          <w:szCs w:val="24"/>
        </w:rPr>
        <w:t xml:space="preserve"> text. With your current health care organization, or an organization you are targeting for your DNP Project, in mind, consider the area(s) of greatest challenge with regard to translating and applying evidence for a practice change initiative, e.g., leadership, technology, collaboration, stakeholder buy-in. Focus on the relevant text chapter(s) in your Discussion preparation.</w:t>
      </w:r>
    </w:p>
    <w:p w:rsidR="003954A9" w:rsidRPr="003954A9" w:rsidRDefault="003954A9" w:rsidP="003954A9">
      <w:pPr>
        <w:numPr>
          <w:ilvl w:val="0"/>
          <w:numId w:val="1"/>
        </w:numPr>
        <w:spacing w:before="100" w:beforeAutospacing="1" w:after="100" w:afterAutospacing="1" w:line="240" w:lineRule="auto"/>
        <w:ind w:left="1095"/>
        <w:rPr>
          <w:rFonts w:ascii="Times New Roman" w:eastAsia="Times New Roman" w:hAnsi="Times New Roman" w:cs="Times New Roman"/>
          <w:kern w:val="0"/>
          <w:sz w:val="24"/>
          <w:szCs w:val="24"/>
        </w:rPr>
      </w:pPr>
      <w:r w:rsidRPr="003954A9">
        <w:rPr>
          <w:rFonts w:ascii="Times New Roman" w:eastAsia="Times New Roman" w:hAnsi="Times New Roman" w:cs="Times New Roman"/>
          <w:kern w:val="0"/>
          <w:sz w:val="24"/>
          <w:szCs w:val="24"/>
        </w:rPr>
        <w:t>Consider theories and best practice recommendations for addressing your identified challenges and barriers to translating and applying evidence that would support practice change initiatives.</w:t>
      </w:r>
    </w:p>
    <w:p w:rsidR="003954A9" w:rsidRPr="003954A9" w:rsidRDefault="003954A9" w:rsidP="003954A9">
      <w:pPr>
        <w:numPr>
          <w:ilvl w:val="0"/>
          <w:numId w:val="1"/>
        </w:numPr>
        <w:spacing w:before="100" w:beforeAutospacing="1" w:after="0" w:line="240" w:lineRule="auto"/>
        <w:ind w:left="1095"/>
        <w:rPr>
          <w:rFonts w:ascii="Times New Roman" w:eastAsia="Times New Roman" w:hAnsi="Times New Roman" w:cs="Times New Roman"/>
          <w:kern w:val="0"/>
          <w:sz w:val="24"/>
          <w:szCs w:val="24"/>
        </w:rPr>
      </w:pPr>
      <w:r w:rsidRPr="003954A9">
        <w:rPr>
          <w:rFonts w:ascii="Times New Roman" w:eastAsia="Times New Roman" w:hAnsi="Times New Roman" w:cs="Times New Roman"/>
          <w:kern w:val="0"/>
          <w:sz w:val="24"/>
          <w:szCs w:val="24"/>
        </w:rPr>
        <w:t>Reflect on the philosophy of nursing practice that you developed in Modules 1–2. Consider your role as a DNP in creating an organizational culture that embraces evidence-based practice and quality improvement. </w:t>
      </w:r>
    </w:p>
    <w:p w:rsidR="003954A9" w:rsidRPr="003954A9" w:rsidRDefault="003954A9" w:rsidP="003954A9">
      <w:pPr>
        <w:spacing w:before="180" w:line="240" w:lineRule="auto"/>
        <w:rPr>
          <w:rFonts w:ascii="Times New Roman" w:eastAsia="Times New Roman" w:hAnsi="Times New Roman" w:cs="Times New Roman"/>
          <w:kern w:val="0"/>
          <w:sz w:val="24"/>
          <w:szCs w:val="24"/>
        </w:rPr>
      </w:pPr>
      <w:r w:rsidRPr="003954A9">
        <w:rPr>
          <w:rFonts w:ascii="Times New Roman" w:eastAsia="Times New Roman" w:hAnsi="Times New Roman" w:cs="Times New Roman"/>
          <w:kern w:val="0"/>
          <w:sz w:val="24"/>
          <w:szCs w:val="24"/>
        </w:rPr>
        <w:t>With these thoughts in mind …</w:t>
      </w:r>
    </w:p>
    <w:p w:rsidR="003954A9" w:rsidRPr="003954A9" w:rsidRDefault="003954A9" w:rsidP="003954A9">
      <w:pPr>
        <w:shd w:val="clear" w:color="auto" w:fill="FFFFFF"/>
        <w:spacing w:before="180" w:line="240" w:lineRule="auto"/>
        <w:rPr>
          <w:rFonts w:ascii="Helvetica" w:eastAsia="Times New Roman" w:hAnsi="Helvetica" w:cs="Helvetica"/>
          <w:color w:val="2D3B45"/>
          <w:kern w:val="0"/>
          <w:sz w:val="24"/>
          <w:szCs w:val="24"/>
        </w:rPr>
      </w:pPr>
      <w:r w:rsidRPr="003954A9">
        <w:rPr>
          <w:rFonts w:ascii="Helvetica" w:eastAsia="Times New Roman" w:hAnsi="Helvetica" w:cs="Helvetica"/>
          <w:b/>
          <w:bCs/>
          <w:color w:val="2D3B45"/>
          <w:kern w:val="0"/>
          <w:sz w:val="24"/>
          <w:szCs w:val="24"/>
        </w:rPr>
        <w:t>Post </w:t>
      </w:r>
      <w:r w:rsidRPr="003954A9">
        <w:rPr>
          <w:rFonts w:ascii="Helvetica" w:eastAsia="Times New Roman" w:hAnsi="Helvetica" w:cs="Helvetica"/>
          <w:color w:val="2D3B45"/>
          <w:kern w:val="0"/>
          <w:sz w:val="24"/>
          <w:szCs w:val="24"/>
        </w:rPr>
        <w:t xml:space="preserve">an explanation of the challenges and barriers to translating and applying evidence for practice change in your target </w:t>
      </w:r>
      <w:r>
        <w:rPr>
          <w:rFonts w:ascii="Helvetica" w:eastAsia="Times New Roman" w:hAnsi="Helvetica" w:cs="Helvetica"/>
          <w:color w:val="2D3B45"/>
          <w:kern w:val="0"/>
          <w:sz w:val="24"/>
          <w:szCs w:val="24"/>
        </w:rPr>
        <w:t>healthcare</w:t>
      </w:r>
      <w:r w:rsidRPr="003954A9">
        <w:rPr>
          <w:rFonts w:ascii="Helvetica" w:eastAsia="Times New Roman" w:hAnsi="Helvetica" w:cs="Helvetica"/>
          <w:color w:val="2D3B45"/>
          <w:kern w:val="0"/>
          <w:sz w:val="24"/>
          <w:szCs w:val="24"/>
        </w:rPr>
        <w:t xml:space="preserve"> organization. Briefly explain your issue(s) of concern and describe specific approaches for addressing these challenges. Explain how you view your role as a DNP in creating a </w:t>
      </w:r>
      <w:r>
        <w:rPr>
          <w:rFonts w:ascii="Helvetica" w:eastAsia="Times New Roman" w:hAnsi="Helvetica" w:cs="Helvetica"/>
          <w:color w:val="2D3B45"/>
          <w:kern w:val="0"/>
          <w:sz w:val="24"/>
          <w:szCs w:val="24"/>
        </w:rPr>
        <w:t>healthcare</w:t>
      </w:r>
      <w:r w:rsidRPr="003954A9">
        <w:rPr>
          <w:rFonts w:ascii="Helvetica" w:eastAsia="Times New Roman" w:hAnsi="Helvetica" w:cs="Helvetica"/>
          <w:color w:val="2D3B45"/>
          <w:kern w:val="0"/>
          <w:sz w:val="24"/>
          <w:szCs w:val="24"/>
        </w:rPr>
        <w:t xml:space="preserve"> culture that promotes </w:t>
      </w:r>
      <w:r>
        <w:rPr>
          <w:rFonts w:ascii="Helvetica" w:eastAsia="Times New Roman" w:hAnsi="Helvetica" w:cs="Helvetica"/>
          <w:color w:val="2D3B45"/>
          <w:kern w:val="0"/>
          <w:sz w:val="24"/>
          <w:szCs w:val="24"/>
        </w:rPr>
        <w:t xml:space="preserve">the </w:t>
      </w:r>
      <w:r w:rsidRPr="003954A9">
        <w:rPr>
          <w:rFonts w:ascii="Helvetica" w:eastAsia="Times New Roman" w:hAnsi="Helvetica" w:cs="Helvetica"/>
          <w:color w:val="2D3B45"/>
          <w:kern w:val="0"/>
          <w:sz w:val="24"/>
          <w:szCs w:val="24"/>
        </w:rPr>
        <w:t>translation of evidence for quality improvement and explain why. Then, recommend actions and activities you could model and lead, including through an EBP QI project, to advocate for quality improvement and social change in nursing. Be specific and provide examples.</w:t>
      </w:r>
    </w:p>
    <w:p w:rsidR="00AB5A5F" w:rsidRDefault="00AB5A5F"/>
    <w:sectPr w:rsidR="00AB5A5F" w:rsidSect="00EF69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62E91"/>
    <w:multiLevelType w:val="multilevel"/>
    <w:tmpl w:val="5204D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DF12F0"/>
    <w:multiLevelType w:val="multilevel"/>
    <w:tmpl w:val="50729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227EE0"/>
    <w:multiLevelType w:val="multilevel"/>
    <w:tmpl w:val="4BE6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54A9"/>
    <w:rsid w:val="003954A9"/>
    <w:rsid w:val="00422A88"/>
    <w:rsid w:val="004A2E12"/>
    <w:rsid w:val="00AB5A5F"/>
    <w:rsid w:val="00EF69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9CB"/>
  </w:style>
  <w:style w:type="paragraph" w:styleId="Heading2">
    <w:name w:val="heading 2"/>
    <w:basedOn w:val="Normal"/>
    <w:link w:val="Heading2Char"/>
    <w:uiPriority w:val="9"/>
    <w:qFormat/>
    <w:rsid w:val="003954A9"/>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3954A9"/>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54A9"/>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3954A9"/>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3954A9"/>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popupimgspanright">
    <w:name w:val="popupimgspanright"/>
    <w:basedOn w:val="DefaultParagraphFont"/>
    <w:rsid w:val="003954A9"/>
  </w:style>
  <w:style w:type="character" w:styleId="Hyperlink">
    <w:name w:val="Hyperlink"/>
    <w:basedOn w:val="DefaultParagraphFont"/>
    <w:uiPriority w:val="99"/>
    <w:semiHidden/>
    <w:unhideWhenUsed/>
    <w:rsid w:val="003954A9"/>
    <w:rPr>
      <w:color w:val="0000FF"/>
      <w:u w:val="single"/>
    </w:rPr>
  </w:style>
  <w:style w:type="character" w:styleId="Strong">
    <w:name w:val="Strong"/>
    <w:basedOn w:val="DefaultParagraphFont"/>
    <w:uiPriority w:val="22"/>
    <w:qFormat/>
    <w:rsid w:val="003954A9"/>
    <w:rPr>
      <w:b/>
      <w:bCs/>
    </w:rPr>
  </w:style>
  <w:style w:type="paragraph" w:styleId="BalloonText">
    <w:name w:val="Balloon Text"/>
    <w:basedOn w:val="Normal"/>
    <w:link w:val="BalloonTextChar"/>
    <w:uiPriority w:val="99"/>
    <w:semiHidden/>
    <w:unhideWhenUsed/>
    <w:rsid w:val="00422A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A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9835043">
      <w:bodyDiv w:val="1"/>
      <w:marLeft w:val="0"/>
      <w:marRight w:val="0"/>
      <w:marTop w:val="0"/>
      <w:marBottom w:val="0"/>
      <w:divBdr>
        <w:top w:val="none" w:sz="0" w:space="0" w:color="auto"/>
        <w:left w:val="none" w:sz="0" w:space="0" w:color="auto"/>
        <w:bottom w:val="none" w:sz="0" w:space="0" w:color="auto"/>
        <w:right w:val="none" w:sz="0" w:space="0" w:color="auto"/>
      </w:divBdr>
    </w:div>
    <w:div w:id="887424252">
      <w:bodyDiv w:val="1"/>
      <w:marLeft w:val="0"/>
      <w:marRight w:val="0"/>
      <w:marTop w:val="0"/>
      <w:marBottom w:val="0"/>
      <w:divBdr>
        <w:top w:val="none" w:sz="0" w:space="0" w:color="auto"/>
        <w:left w:val="none" w:sz="0" w:space="0" w:color="auto"/>
        <w:bottom w:val="none" w:sz="0" w:space="0" w:color="auto"/>
        <w:right w:val="none" w:sz="0" w:space="0" w:color="auto"/>
      </w:divBdr>
      <w:divsChild>
        <w:div w:id="1646934318">
          <w:marLeft w:val="0"/>
          <w:marRight w:val="0"/>
          <w:marTop w:val="0"/>
          <w:marBottom w:val="300"/>
          <w:divBdr>
            <w:top w:val="none" w:sz="0" w:space="0" w:color="auto"/>
            <w:left w:val="none" w:sz="0" w:space="0" w:color="auto"/>
            <w:bottom w:val="none" w:sz="0" w:space="0" w:color="auto"/>
            <w:right w:val="none" w:sz="0" w:space="0" w:color="auto"/>
          </w:divBdr>
        </w:div>
        <w:div w:id="314602279">
          <w:marLeft w:val="0"/>
          <w:marRight w:val="0"/>
          <w:marTop w:val="0"/>
          <w:marBottom w:val="300"/>
          <w:divBdr>
            <w:top w:val="none" w:sz="0" w:space="0" w:color="auto"/>
            <w:left w:val="none" w:sz="0" w:space="0" w:color="auto"/>
            <w:bottom w:val="none" w:sz="0" w:space="0" w:color="auto"/>
            <w:right w:val="none" w:sz="0" w:space="0" w:color="auto"/>
          </w:divBdr>
          <w:divsChild>
            <w:div w:id="2094159058">
              <w:marLeft w:val="0"/>
              <w:marRight w:val="0"/>
              <w:marTop w:val="0"/>
              <w:marBottom w:val="0"/>
              <w:divBdr>
                <w:top w:val="none" w:sz="0" w:space="0" w:color="auto"/>
                <w:left w:val="none" w:sz="0" w:space="0" w:color="auto"/>
                <w:bottom w:val="none" w:sz="0" w:space="0" w:color="auto"/>
                <w:right w:val="none" w:sz="0" w:space="0" w:color="auto"/>
              </w:divBdr>
              <w:divsChild>
                <w:div w:id="1382444079">
                  <w:marLeft w:val="-225"/>
                  <w:marRight w:val="-225"/>
                  <w:marTop w:val="0"/>
                  <w:marBottom w:val="0"/>
                  <w:divBdr>
                    <w:top w:val="none" w:sz="0" w:space="0" w:color="auto"/>
                    <w:left w:val="none" w:sz="0" w:space="0" w:color="auto"/>
                    <w:bottom w:val="none" w:sz="0" w:space="0" w:color="auto"/>
                    <w:right w:val="none" w:sz="0" w:space="0" w:color="auto"/>
                  </w:divBdr>
                  <w:divsChild>
                    <w:div w:id="78231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688108">
          <w:marLeft w:val="0"/>
          <w:marRight w:val="0"/>
          <w:marTop w:val="0"/>
          <w:marBottom w:val="300"/>
          <w:divBdr>
            <w:top w:val="none" w:sz="0" w:space="0" w:color="auto"/>
            <w:left w:val="none" w:sz="0" w:space="0" w:color="auto"/>
            <w:bottom w:val="none" w:sz="0" w:space="0" w:color="auto"/>
            <w:right w:val="none" w:sz="0" w:space="0" w:color="auto"/>
          </w:divBdr>
        </w:div>
        <w:div w:id="2026635942">
          <w:marLeft w:val="0"/>
          <w:marRight w:val="0"/>
          <w:marTop w:val="0"/>
          <w:marBottom w:val="300"/>
          <w:divBdr>
            <w:top w:val="none" w:sz="0" w:space="0" w:color="auto"/>
            <w:left w:val="none" w:sz="0" w:space="0" w:color="auto"/>
            <w:bottom w:val="none" w:sz="0" w:space="0" w:color="auto"/>
            <w:right w:val="none" w:sz="0" w:space="0" w:color="auto"/>
          </w:divBdr>
        </w:div>
        <w:div w:id="671416923">
          <w:marLeft w:val="0"/>
          <w:marRight w:val="0"/>
          <w:marTop w:val="0"/>
          <w:marBottom w:val="300"/>
          <w:divBdr>
            <w:top w:val="none" w:sz="0" w:space="0" w:color="auto"/>
            <w:left w:val="none" w:sz="0" w:space="0" w:color="auto"/>
            <w:bottom w:val="none" w:sz="0" w:space="0" w:color="auto"/>
            <w:right w:val="none" w:sz="0" w:space="0" w:color="auto"/>
          </w:divBdr>
        </w:div>
        <w:div w:id="1850411173">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aldenu.instructure.com/courses/56581/modules/items/10817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cdn-media.waldenu.edu/2dett4d/Walden/Canvas/Adobe/1920x938/AdobeStock_168444377.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2579</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dc:creator>
  <cp:lastModifiedBy>Windows User</cp:lastModifiedBy>
  <cp:revision>2</cp:revision>
  <dcterms:created xsi:type="dcterms:W3CDTF">2023-09-30T13:27:00Z</dcterms:created>
  <dcterms:modified xsi:type="dcterms:W3CDTF">2023-09-30T13:27:00Z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b13be105-c69a-4f52-abef-5afecc6a91e0</vt:lpwstr>
  </property>
</Properties>
</file>