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BDB" w:rsidRPr="00CA1BDB" w:rsidRDefault="00CA1BDB" w:rsidP="00CA1BDB">
      <w:pPr>
        <w:shd w:val="clear" w:color="auto" w:fill="FFFFFF"/>
        <w:spacing w:after="130" w:line="298" w:lineRule="atLeast"/>
        <w:rPr>
          <w:rFonts w:ascii="Arial" w:eastAsia="Times New Roman" w:hAnsi="Arial" w:cs="Arial"/>
          <w:color w:val="333333"/>
          <w:sz w:val="18"/>
          <w:szCs w:val="18"/>
        </w:rPr>
      </w:pPr>
      <w:proofErr w:type="gramStart"/>
      <w:r w:rsidRPr="00CA1BDB">
        <w:rPr>
          <w:rFonts w:ascii="Arial" w:eastAsia="Times New Roman" w:hAnsi="Arial" w:cs="Arial"/>
          <w:color w:val="333333"/>
          <w:sz w:val="18"/>
          <w:szCs w:val="18"/>
        </w:rPr>
        <w:t>here</w:t>
      </w:r>
      <w:proofErr w:type="gramEnd"/>
      <w:r w:rsidRPr="00CA1BDB">
        <w:rPr>
          <w:rFonts w:ascii="Arial" w:eastAsia="Times New Roman" w:hAnsi="Arial" w:cs="Arial"/>
          <w:color w:val="333333"/>
          <w:sz w:val="18"/>
          <w:szCs w:val="18"/>
        </w:rPr>
        <w:t xml:space="preserve"> you will find the posts</w:t>
      </w:r>
    </w:p>
    <w:p w:rsidR="00CA1BDB" w:rsidRPr="00CA1BDB" w:rsidRDefault="00CA1BDB" w:rsidP="00CA1BDB">
      <w:pPr>
        <w:shd w:val="clear" w:color="auto" w:fill="FFFFFF"/>
        <w:spacing w:after="130" w:line="298" w:lineRule="atLeast"/>
        <w:rPr>
          <w:rFonts w:ascii="Arial" w:eastAsia="Times New Roman" w:hAnsi="Arial" w:cs="Arial"/>
          <w:color w:val="333333"/>
          <w:sz w:val="18"/>
          <w:szCs w:val="18"/>
        </w:rPr>
      </w:pPr>
    </w:p>
    <w:p w:rsidR="00CA1BDB" w:rsidRPr="00CA1BDB" w:rsidRDefault="00CA1BDB" w:rsidP="00CA1BDB">
      <w:pPr>
        <w:numPr>
          <w:ilvl w:val="0"/>
          <w:numId w:val="1"/>
        </w:numPr>
        <w:shd w:val="clear" w:color="auto" w:fill="FFFFFF"/>
        <w:spacing w:before="100" w:beforeAutospacing="1" w:after="100" w:afterAutospacing="1" w:line="240" w:lineRule="auto"/>
        <w:rPr>
          <w:rFonts w:ascii="Arial" w:eastAsia="Times New Roman" w:hAnsi="Arial" w:cs="Arial"/>
          <w:color w:val="333333"/>
          <w:sz w:val="18"/>
          <w:szCs w:val="18"/>
        </w:rPr>
      </w:pPr>
      <w:r w:rsidRPr="00CA1BDB">
        <w:rPr>
          <w:rFonts w:ascii="Arial" w:eastAsia="Times New Roman" w:hAnsi="Arial" w:cs="Arial"/>
          <w:b/>
          <w:bCs/>
          <w:color w:val="333333"/>
          <w:sz w:val="18"/>
        </w:rPr>
        <w:t xml:space="preserve">1 Management of </w:t>
      </w:r>
      <w:proofErr w:type="spellStart"/>
      <w:r w:rsidRPr="00CA1BDB">
        <w:rPr>
          <w:rFonts w:ascii="Arial" w:eastAsia="Times New Roman" w:hAnsi="Arial" w:cs="Arial"/>
          <w:b/>
          <w:bCs/>
          <w:color w:val="333333"/>
          <w:sz w:val="18"/>
        </w:rPr>
        <w:t>Development</w:t>
      </w:r>
      <w:r w:rsidRPr="00CA1BDB">
        <w:rPr>
          <w:rFonts w:ascii="Arial" w:eastAsia="Times New Roman" w:hAnsi="Arial" w:cs="Arial"/>
          <w:color w:val="333333"/>
          <w:sz w:val="18"/>
          <w:szCs w:val="18"/>
        </w:rPr>
        <w:t>Pediatric</w:t>
      </w:r>
      <w:proofErr w:type="spellEnd"/>
      <w:r w:rsidRPr="00CA1BDB">
        <w:rPr>
          <w:rFonts w:ascii="Arial" w:eastAsia="Times New Roman" w:hAnsi="Arial" w:cs="Arial"/>
          <w:color w:val="333333"/>
          <w:sz w:val="18"/>
          <w:szCs w:val="18"/>
        </w:rPr>
        <w:t xml:space="preserve"> anticipatory advice is provided by the healthcare professional to help parents or guardians understand the anticipated growth and development of their children (</w:t>
      </w:r>
      <w:proofErr w:type="spellStart"/>
      <w:r w:rsidRPr="00CA1BDB">
        <w:rPr>
          <w:rFonts w:ascii="Arial" w:eastAsia="Times New Roman" w:hAnsi="Arial" w:cs="Arial"/>
          <w:color w:val="333333"/>
          <w:sz w:val="18"/>
          <w:szCs w:val="18"/>
        </w:rPr>
        <w:t>Schor</w:t>
      </w:r>
      <w:proofErr w:type="spellEnd"/>
      <w:r w:rsidRPr="00CA1BDB">
        <w:rPr>
          <w:rFonts w:ascii="Arial" w:eastAsia="Times New Roman" w:hAnsi="Arial" w:cs="Arial"/>
          <w:color w:val="333333"/>
          <w:sz w:val="18"/>
          <w:szCs w:val="18"/>
        </w:rPr>
        <w:t xml:space="preserve">, 2021). But because different children need varied anticipatory assistance depending on their age, anticipatory guidance is given based on the patient's age. The majority of health providers provide anticipatory guidance in the form of posters in the waiting or examination room, brochures and pamphlets for parents and children, and vocal anticipatory counseling to the patient. It is important to follow the recommendations made by the American Academy of Pediatrics when giving children anticipatory guidance. These recommendations include using open-ended and affirming questions as well as active listening because they will serve as a model to encourage honest and supportive communication. The healthcare professional should also be able to spot teachable </w:t>
      </w:r>
      <w:proofErr w:type="spellStart"/>
      <w:r w:rsidRPr="00CA1BDB">
        <w:rPr>
          <w:rFonts w:ascii="Arial" w:eastAsia="Times New Roman" w:hAnsi="Arial" w:cs="Arial"/>
          <w:color w:val="333333"/>
          <w:sz w:val="18"/>
          <w:szCs w:val="18"/>
        </w:rPr>
        <w:t>moments.</w:t>
      </w:r>
      <w:r w:rsidRPr="00CA1BDB">
        <w:rPr>
          <w:rFonts w:ascii="Arial" w:eastAsia="Times New Roman" w:hAnsi="Arial" w:cs="Arial"/>
          <w:b/>
          <w:bCs/>
          <w:color w:val="333333"/>
          <w:sz w:val="18"/>
        </w:rPr>
        <w:t>An</w:t>
      </w:r>
      <w:proofErr w:type="spellEnd"/>
      <w:r w:rsidRPr="00CA1BDB">
        <w:rPr>
          <w:rFonts w:ascii="Arial" w:eastAsia="Times New Roman" w:hAnsi="Arial" w:cs="Arial"/>
          <w:b/>
          <w:bCs/>
          <w:color w:val="333333"/>
          <w:sz w:val="18"/>
        </w:rPr>
        <w:t xml:space="preserve"> 18-month-old with an Acute Upper Respiratory </w:t>
      </w:r>
      <w:proofErr w:type="spellStart"/>
      <w:r w:rsidRPr="00CA1BDB">
        <w:rPr>
          <w:rFonts w:ascii="Arial" w:eastAsia="Times New Roman" w:hAnsi="Arial" w:cs="Arial"/>
          <w:b/>
          <w:bCs/>
          <w:color w:val="333333"/>
          <w:sz w:val="18"/>
        </w:rPr>
        <w:t>Infection</w:t>
      </w:r>
      <w:r w:rsidRPr="00CA1BDB">
        <w:rPr>
          <w:rFonts w:ascii="Arial" w:eastAsia="Times New Roman" w:hAnsi="Arial" w:cs="Arial"/>
          <w:color w:val="333333"/>
          <w:sz w:val="18"/>
          <w:szCs w:val="18"/>
        </w:rPr>
        <w:t>It</w:t>
      </w:r>
      <w:proofErr w:type="spellEnd"/>
      <w:r w:rsidRPr="00CA1BDB">
        <w:rPr>
          <w:rFonts w:ascii="Arial" w:eastAsia="Times New Roman" w:hAnsi="Arial" w:cs="Arial"/>
          <w:color w:val="333333"/>
          <w:sz w:val="18"/>
          <w:szCs w:val="18"/>
        </w:rPr>
        <w:t xml:space="preserve"> is crucial to inform the parents of the significance of keeping their infant away from persons who are contagious because the majority of upper respiratory illnesses are frequently passed from one person to another. To reduce exposure, the parent should also make an effort to keep their infant away from crowded areas like malls, particularly in the fall and winter when many people are sick with the flu. The mother should also make sure the child has regular checkups from the doctor and the necessary vaccines, such as the influenza </w:t>
      </w:r>
      <w:proofErr w:type="spellStart"/>
      <w:r w:rsidRPr="00CA1BDB">
        <w:rPr>
          <w:rFonts w:ascii="Arial" w:eastAsia="Times New Roman" w:hAnsi="Arial" w:cs="Arial"/>
          <w:color w:val="333333"/>
          <w:sz w:val="18"/>
          <w:szCs w:val="18"/>
        </w:rPr>
        <w:t>shot.</w:t>
      </w:r>
      <w:r w:rsidRPr="00CA1BDB">
        <w:rPr>
          <w:rFonts w:ascii="Arial" w:eastAsia="Times New Roman" w:hAnsi="Arial" w:cs="Arial"/>
          <w:b/>
          <w:bCs/>
          <w:color w:val="333333"/>
          <w:sz w:val="18"/>
        </w:rPr>
        <w:t>A</w:t>
      </w:r>
      <w:proofErr w:type="spellEnd"/>
      <w:r w:rsidRPr="00CA1BDB">
        <w:rPr>
          <w:rFonts w:ascii="Arial" w:eastAsia="Times New Roman" w:hAnsi="Arial" w:cs="Arial"/>
          <w:b/>
          <w:bCs/>
          <w:color w:val="333333"/>
          <w:sz w:val="18"/>
        </w:rPr>
        <w:t xml:space="preserve"> 4-year-old with stool Withholding and Constipation</w:t>
      </w:r>
      <w:r w:rsidRPr="00CA1BDB">
        <w:rPr>
          <w:rFonts w:ascii="Arial" w:eastAsia="Times New Roman" w:hAnsi="Arial" w:cs="Arial"/>
          <w:color w:val="333333"/>
          <w:sz w:val="18"/>
          <w:szCs w:val="18"/>
        </w:rPr>
        <w:t xml:space="preserve"> Stool withholding, which happens when toddlers hold their stools rather than passing them, is a common issue. This commonly happens when a young child has constipation and feels uncomfortable passing stool; as a result, the child prefers to hold in their stool. Therefore, it's critical for the parent of the 4-year-old to understand the causes of constipation and stool withholding. The physician should provide the parent of the child with anticipatory guidance on the correct diet, which should be high in fiber and give lots of fluids, especially water. In order to encourage regular bowel movements, the parent should also be encouraged to promote physical exercise. Establishing a toilet regimen is another proactive tip the health provider may provide the </w:t>
      </w:r>
      <w:proofErr w:type="spellStart"/>
      <w:r w:rsidRPr="00CA1BDB">
        <w:rPr>
          <w:rFonts w:ascii="Arial" w:eastAsia="Times New Roman" w:hAnsi="Arial" w:cs="Arial"/>
          <w:color w:val="333333"/>
          <w:sz w:val="18"/>
          <w:szCs w:val="18"/>
        </w:rPr>
        <w:t>parent.</w:t>
      </w:r>
      <w:r w:rsidRPr="00CA1BDB">
        <w:rPr>
          <w:rFonts w:ascii="Arial" w:eastAsia="Times New Roman" w:hAnsi="Arial" w:cs="Arial"/>
          <w:b/>
          <w:bCs/>
          <w:color w:val="333333"/>
          <w:sz w:val="18"/>
        </w:rPr>
        <w:t>A</w:t>
      </w:r>
      <w:proofErr w:type="spellEnd"/>
      <w:r w:rsidRPr="00CA1BDB">
        <w:rPr>
          <w:rFonts w:ascii="Arial" w:eastAsia="Times New Roman" w:hAnsi="Arial" w:cs="Arial"/>
          <w:b/>
          <w:bCs/>
          <w:color w:val="333333"/>
          <w:sz w:val="18"/>
        </w:rPr>
        <w:t xml:space="preserve"> 9-year-old with Chronic </w:t>
      </w:r>
      <w:proofErr w:type="spellStart"/>
      <w:r w:rsidRPr="00CA1BDB">
        <w:rPr>
          <w:rFonts w:ascii="Arial" w:eastAsia="Times New Roman" w:hAnsi="Arial" w:cs="Arial"/>
          <w:b/>
          <w:bCs/>
          <w:color w:val="333333"/>
          <w:sz w:val="18"/>
        </w:rPr>
        <w:t>Headaches</w:t>
      </w:r>
      <w:r w:rsidRPr="00CA1BDB">
        <w:rPr>
          <w:rFonts w:ascii="Arial" w:eastAsia="Times New Roman" w:hAnsi="Arial" w:cs="Arial"/>
          <w:color w:val="333333"/>
          <w:sz w:val="18"/>
          <w:szCs w:val="18"/>
        </w:rPr>
        <w:t>Children</w:t>
      </w:r>
      <w:proofErr w:type="spellEnd"/>
      <w:r w:rsidRPr="00CA1BDB">
        <w:rPr>
          <w:rFonts w:ascii="Arial" w:eastAsia="Times New Roman" w:hAnsi="Arial" w:cs="Arial"/>
          <w:color w:val="333333"/>
          <w:sz w:val="18"/>
          <w:szCs w:val="18"/>
        </w:rPr>
        <w:t xml:space="preserve"> and teenagers most frequently complain of headaches. But there are many different kinds of headaches, and they can all be treated in various ways. These headaches include migraines, tension headaches, and headaches brought on by illnesses like meningitis. The parents of the 9-year-old can receive advice from the health professional on how to establish a sleep schedule for the child and how to serve meals at regular intervals so that the child can get enough rest. Additionally, it is advisable to suggest that the parent keep a headache diary in order to better understand the triggers. Making sure the child engages in regular active play or exercise is another proactive </w:t>
      </w:r>
      <w:proofErr w:type="spellStart"/>
      <w:r w:rsidRPr="00CA1BDB">
        <w:rPr>
          <w:rFonts w:ascii="Arial" w:eastAsia="Times New Roman" w:hAnsi="Arial" w:cs="Arial"/>
          <w:color w:val="333333"/>
          <w:sz w:val="18"/>
          <w:szCs w:val="18"/>
        </w:rPr>
        <w:t>tip.</w:t>
      </w:r>
      <w:r w:rsidRPr="00CA1BDB">
        <w:rPr>
          <w:rFonts w:ascii="Arial" w:eastAsia="Times New Roman" w:hAnsi="Arial" w:cs="Arial"/>
          <w:b/>
          <w:bCs/>
          <w:color w:val="333333"/>
          <w:sz w:val="18"/>
        </w:rPr>
        <w:t>A</w:t>
      </w:r>
      <w:proofErr w:type="spellEnd"/>
      <w:r w:rsidRPr="00CA1BDB">
        <w:rPr>
          <w:rFonts w:ascii="Arial" w:eastAsia="Times New Roman" w:hAnsi="Arial" w:cs="Arial"/>
          <w:b/>
          <w:bCs/>
          <w:color w:val="333333"/>
          <w:sz w:val="18"/>
        </w:rPr>
        <w:t xml:space="preserve"> 15-year-old with </w:t>
      </w:r>
      <w:proofErr w:type="spellStart"/>
      <w:r w:rsidRPr="00CA1BDB">
        <w:rPr>
          <w:rFonts w:ascii="Arial" w:eastAsia="Times New Roman" w:hAnsi="Arial" w:cs="Arial"/>
          <w:b/>
          <w:bCs/>
          <w:color w:val="333333"/>
          <w:sz w:val="18"/>
        </w:rPr>
        <w:t>Dysmenorrhea.</w:t>
      </w:r>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sometimes known as period discomfort, is the medical term for the cramping and pain that accompany menstruation. According to research,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affects 16–91% of menstruating women, with 2-29% reporting severe pain (Payne et al., 2019). Proactive advice for a 15-year-old with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includes frequent exercise, getting adequate sleep, eating a healthy diet, massaging the abdomen, and applying a heating pad or hot water bottle to the lower back or abdomen to help ease the </w:t>
      </w:r>
      <w:proofErr w:type="spellStart"/>
      <w:r w:rsidRPr="00CA1BDB">
        <w:rPr>
          <w:rFonts w:ascii="Arial" w:eastAsia="Times New Roman" w:hAnsi="Arial" w:cs="Arial"/>
          <w:color w:val="333333"/>
          <w:sz w:val="18"/>
          <w:szCs w:val="18"/>
        </w:rPr>
        <w:t>pain.</w:t>
      </w:r>
      <w:r w:rsidRPr="00CA1BDB">
        <w:rPr>
          <w:rFonts w:ascii="Arial" w:eastAsia="Times New Roman" w:hAnsi="Arial" w:cs="Arial"/>
          <w:b/>
          <w:bCs/>
          <w:color w:val="333333"/>
          <w:sz w:val="18"/>
        </w:rPr>
        <w:t>References</w:t>
      </w:r>
      <w:proofErr w:type="spellEnd"/>
      <w:r w:rsidRPr="00CA1BDB">
        <w:rPr>
          <w:rFonts w:ascii="Arial" w:eastAsia="Times New Roman" w:hAnsi="Arial" w:cs="Arial"/>
          <w:color w:val="333333"/>
          <w:sz w:val="18"/>
          <w:szCs w:val="18"/>
        </w:rPr>
        <w:t> </w:t>
      </w:r>
      <w:proofErr w:type="spellStart"/>
      <w:r w:rsidRPr="00CA1BDB">
        <w:rPr>
          <w:rFonts w:ascii="Arial" w:eastAsia="Times New Roman" w:hAnsi="Arial" w:cs="Arial"/>
          <w:color w:val="333333"/>
          <w:sz w:val="18"/>
          <w:szCs w:val="18"/>
        </w:rPr>
        <w:t>Schor</w:t>
      </w:r>
      <w:proofErr w:type="spellEnd"/>
      <w:r w:rsidRPr="00CA1BDB">
        <w:rPr>
          <w:rFonts w:ascii="Arial" w:eastAsia="Times New Roman" w:hAnsi="Arial" w:cs="Arial"/>
          <w:color w:val="333333"/>
          <w:sz w:val="18"/>
          <w:szCs w:val="18"/>
        </w:rPr>
        <w:t>, E. L. (2021). Life course health development in pediatric practice. </w:t>
      </w:r>
      <w:r w:rsidRPr="00CA1BDB">
        <w:rPr>
          <w:rFonts w:ascii="Arial" w:eastAsia="Times New Roman" w:hAnsi="Arial" w:cs="Arial"/>
          <w:i/>
          <w:iCs/>
          <w:color w:val="333333"/>
          <w:sz w:val="18"/>
        </w:rPr>
        <w:t>Pediatrics</w:t>
      </w:r>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147</w:t>
      </w:r>
      <w:r w:rsidRPr="00CA1BDB">
        <w:rPr>
          <w:rFonts w:ascii="Arial" w:eastAsia="Times New Roman" w:hAnsi="Arial" w:cs="Arial"/>
          <w:color w:val="333333"/>
          <w:sz w:val="18"/>
          <w:szCs w:val="18"/>
        </w:rPr>
        <w:t xml:space="preserve">(1). https://doi.org/10.1542/peds.2020-009308Payne, L. A., </w:t>
      </w:r>
      <w:proofErr w:type="spellStart"/>
      <w:r w:rsidRPr="00CA1BDB">
        <w:rPr>
          <w:rFonts w:ascii="Arial" w:eastAsia="Times New Roman" w:hAnsi="Arial" w:cs="Arial"/>
          <w:color w:val="333333"/>
          <w:sz w:val="18"/>
          <w:szCs w:val="18"/>
        </w:rPr>
        <w:t>Seidman</w:t>
      </w:r>
      <w:proofErr w:type="spellEnd"/>
      <w:r w:rsidRPr="00CA1BDB">
        <w:rPr>
          <w:rFonts w:ascii="Arial" w:eastAsia="Times New Roman" w:hAnsi="Arial" w:cs="Arial"/>
          <w:color w:val="333333"/>
          <w:sz w:val="18"/>
          <w:szCs w:val="18"/>
        </w:rPr>
        <w:t xml:space="preserve">, L. C., </w:t>
      </w:r>
      <w:proofErr w:type="spellStart"/>
      <w:r w:rsidRPr="00CA1BDB">
        <w:rPr>
          <w:rFonts w:ascii="Arial" w:eastAsia="Times New Roman" w:hAnsi="Arial" w:cs="Arial"/>
          <w:color w:val="333333"/>
          <w:sz w:val="18"/>
          <w:szCs w:val="18"/>
        </w:rPr>
        <w:t>Sim</w:t>
      </w:r>
      <w:proofErr w:type="spellEnd"/>
      <w:r w:rsidRPr="00CA1BDB">
        <w:rPr>
          <w:rFonts w:ascii="Arial" w:eastAsia="Times New Roman" w:hAnsi="Arial" w:cs="Arial"/>
          <w:color w:val="333333"/>
          <w:sz w:val="18"/>
          <w:szCs w:val="18"/>
        </w:rPr>
        <w:t xml:space="preserve">, M. S., </w:t>
      </w:r>
      <w:proofErr w:type="spellStart"/>
      <w:r w:rsidRPr="00CA1BDB">
        <w:rPr>
          <w:rFonts w:ascii="Arial" w:eastAsia="Times New Roman" w:hAnsi="Arial" w:cs="Arial"/>
          <w:color w:val="333333"/>
          <w:sz w:val="18"/>
          <w:szCs w:val="18"/>
        </w:rPr>
        <w:t>Rapkin</w:t>
      </w:r>
      <w:proofErr w:type="spellEnd"/>
      <w:r w:rsidRPr="00CA1BDB">
        <w:rPr>
          <w:rFonts w:ascii="Arial" w:eastAsia="Times New Roman" w:hAnsi="Arial" w:cs="Arial"/>
          <w:color w:val="333333"/>
          <w:sz w:val="18"/>
          <w:szCs w:val="18"/>
        </w:rPr>
        <w:t xml:space="preserve">, A. J., </w:t>
      </w:r>
      <w:proofErr w:type="spellStart"/>
      <w:r w:rsidRPr="00CA1BDB">
        <w:rPr>
          <w:rFonts w:ascii="Arial" w:eastAsia="Times New Roman" w:hAnsi="Arial" w:cs="Arial"/>
          <w:color w:val="333333"/>
          <w:sz w:val="18"/>
          <w:szCs w:val="18"/>
        </w:rPr>
        <w:t>Naliboff</w:t>
      </w:r>
      <w:proofErr w:type="spellEnd"/>
      <w:r w:rsidRPr="00CA1BDB">
        <w:rPr>
          <w:rFonts w:ascii="Arial" w:eastAsia="Times New Roman" w:hAnsi="Arial" w:cs="Arial"/>
          <w:color w:val="333333"/>
          <w:sz w:val="18"/>
          <w:szCs w:val="18"/>
        </w:rPr>
        <w:t xml:space="preserve">, B. D., &amp; </w:t>
      </w:r>
      <w:proofErr w:type="spellStart"/>
      <w:r w:rsidRPr="00CA1BDB">
        <w:rPr>
          <w:rFonts w:ascii="Arial" w:eastAsia="Times New Roman" w:hAnsi="Arial" w:cs="Arial"/>
          <w:color w:val="333333"/>
          <w:sz w:val="18"/>
          <w:szCs w:val="18"/>
        </w:rPr>
        <w:t>Zeltzer</w:t>
      </w:r>
      <w:proofErr w:type="spellEnd"/>
      <w:r w:rsidRPr="00CA1BDB">
        <w:rPr>
          <w:rFonts w:ascii="Arial" w:eastAsia="Times New Roman" w:hAnsi="Arial" w:cs="Arial"/>
          <w:color w:val="333333"/>
          <w:sz w:val="18"/>
          <w:szCs w:val="18"/>
        </w:rPr>
        <w:t xml:space="preserve">, L. K. (2019). Experimental evaluation of central pain processes in young women with primary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Pain</w:t>
      </w:r>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160</w:t>
      </w:r>
      <w:r w:rsidRPr="00CA1BDB">
        <w:rPr>
          <w:rFonts w:ascii="Arial" w:eastAsia="Times New Roman" w:hAnsi="Arial" w:cs="Arial"/>
          <w:color w:val="333333"/>
          <w:sz w:val="18"/>
          <w:szCs w:val="18"/>
        </w:rPr>
        <w:t>(6), 1421. </w:t>
      </w:r>
      <w:hyperlink r:id="rId5" w:history="1">
        <w:r w:rsidRPr="00CA1BDB">
          <w:rPr>
            <w:rFonts w:ascii="Arial" w:eastAsia="Times New Roman" w:hAnsi="Arial" w:cs="Arial"/>
            <w:color w:val="337AB7"/>
            <w:sz w:val="18"/>
          </w:rPr>
          <w:t>https://doi.org/10.1097%2Fj.pain.0000000000001516</w:t>
        </w:r>
      </w:hyperlink>
      <w:hyperlink r:id="rId6" w:history="1">
        <w:r w:rsidRPr="00CA1BDB">
          <w:rPr>
            <w:rFonts w:ascii="Arial" w:eastAsia="Times New Roman" w:hAnsi="Arial" w:cs="Arial"/>
            <w:color w:val="337AB7"/>
            <w:sz w:val="18"/>
          </w:rPr>
          <w:t> ReplyReply to Comment</w:t>
        </w:r>
      </w:hyperlink>
    </w:p>
    <w:p w:rsidR="00CA1BDB" w:rsidRPr="00CA1BDB" w:rsidRDefault="00CA1BDB" w:rsidP="00CA1BDB">
      <w:pPr>
        <w:numPr>
          <w:ilvl w:val="0"/>
          <w:numId w:val="1"/>
        </w:numPr>
        <w:shd w:val="clear" w:color="auto" w:fill="FFFFFF"/>
        <w:spacing w:before="100" w:beforeAutospacing="1" w:after="100" w:afterAutospacing="1" w:line="240" w:lineRule="auto"/>
        <w:rPr>
          <w:rFonts w:ascii="Arial" w:eastAsia="Times New Roman" w:hAnsi="Arial" w:cs="Arial"/>
          <w:color w:val="333333"/>
          <w:sz w:val="18"/>
          <w:szCs w:val="18"/>
        </w:rPr>
      </w:pPr>
      <w:r w:rsidRPr="00CA1BDB">
        <w:rPr>
          <w:rFonts w:ascii="Arial" w:eastAsia="Times New Roman" w:hAnsi="Arial" w:cs="Arial"/>
          <w:color w:val="333333"/>
          <w:sz w:val="18"/>
          <w:szCs w:val="18"/>
        </w:rPr>
        <w:br/>
      </w:r>
      <w:r w:rsidRPr="00CA1BDB">
        <w:rPr>
          <w:rFonts w:ascii="Arial" w:eastAsia="Times New Roman" w:hAnsi="Arial" w:cs="Arial"/>
          <w:color w:val="333333"/>
          <w:sz w:val="18"/>
          <w:szCs w:val="18"/>
        </w:rPr>
        <w:br/>
      </w:r>
      <w:r w:rsidRPr="00CA1BDB">
        <w:rPr>
          <w:rFonts w:ascii="Arial" w:eastAsia="Times New Roman" w:hAnsi="Arial" w:cs="Arial"/>
          <w:color w:val="333333"/>
          <w:sz w:val="18"/>
          <w:szCs w:val="18"/>
        </w:rPr>
        <w:br/>
      </w:r>
    </w:p>
    <w:p w:rsidR="00CA1BDB" w:rsidRPr="00CA1BDB" w:rsidRDefault="00CA1BDB" w:rsidP="00CA1BDB">
      <w:pPr>
        <w:shd w:val="clear" w:color="auto" w:fill="FFFFFF"/>
        <w:spacing w:beforeAutospacing="1" w:afterAutospacing="1" w:line="240" w:lineRule="auto"/>
        <w:ind w:left="720"/>
        <w:rPr>
          <w:rFonts w:ascii="Arial" w:eastAsia="Times New Roman" w:hAnsi="Arial" w:cs="Arial"/>
          <w:color w:val="333333"/>
          <w:sz w:val="18"/>
          <w:szCs w:val="18"/>
        </w:rPr>
      </w:pPr>
      <w:r w:rsidRPr="00CA1BDB">
        <w:rPr>
          <w:rFonts w:ascii="Arial" w:eastAsia="Times New Roman" w:hAnsi="Arial" w:cs="Arial"/>
          <w:color w:val="333333"/>
          <w:sz w:val="18"/>
          <w:szCs w:val="18"/>
        </w:rPr>
        <w:t>2:37am</w:t>
      </w:r>
      <w:r w:rsidRPr="00CA1BDB">
        <w:rPr>
          <w:rFonts w:ascii="Arial" w:eastAsia="Times New Roman" w:hAnsi="Arial" w:cs="Arial"/>
          <w:color w:val="333333"/>
          <w:sz w:val="18"/>
        </w:rPr>
        <w:t>Jan 19 at 2:37am</w:t>
      </w:r>
      <w:hyperlink r:id="rId7" w:history="1">
        <w:r w:rsidRPr="00CA1BDB">
          <w:rPr>
            <w:rFonts w:ascii="Arial" w:eastAsia="Times New Roman" w:hAnsi="Arial" w:cs="Arial"/>
            <w:color w:val="337AB7"/>
            <w:sz w:val="18"/>
          </w:rPr>
          <w:t>Manage Discussion Entry</w:t>
        </w:r>
      </w:hyperlink>
      <w:r w:rsidRPr="00CA1BDB">
        <w:rPr>
          <w:rFonts w:ascii="Arial" w:eastAsia="Times New Roman" w:hAnsi="Arial" w:cs="Arial"/>
          <w:b/>
          <w:bCs/>
          <w:color w:val="333333"/>
          <w:sz w:val="18"/>
        </w:rPr>
        <w:t>2 Management of Development </w:t>
      </w:r>
      <w:proofErr w:type="spellStart"/>
      <w:r w:rsidRPr="00CA1BDB">
        <w:rPr>
          <w:rFonts w:ascii="Arial" w:eastAsia="Times New Roman" w:hAnsi="Arial" w:cs="Arial"/>
          <w:color w:val="333333"/>
          <w:sz w:val="18"/>
          <w:szCs w:val="18"/>
        </w:rPr>
        <w:t>Phany</w:t>
      </w:r>
      <w:proofErr w:type="spellEnd"/>
      <w:r w:rsidRPr="00CA1BDB">
        <w:rPr>
          <w:rFonts w:ascii="Arial" w:eastAsia="Times New Roman" w:hAnsi="Arial" w:cs="Arial"/>
          <w:color w:val="333333"/>
          <w:sz w:val="18"/>
          <w:szCs w:val="18"/>
        </w:rPr>
        <w:t xml:space="preserve"> </w:t>
      </w:r>
      <w:proofErr w:type="spellStart"/>
      <w:r w:rsidRPr="00CA1BDB">
        <w:rPr>
          <w:rFonts w:ascii="Arial" w:eastAsia="Times New Roman" w:hAnsi="Arial" w:cs="Arial"/>
          <w:color w:val="333333"/>
          <w:sz w:val="18"/>
          <w:szCs w:val="18"/>
        </w:rPr>
        <w:t>ValmyrSt</w:t>
      </w:r>
      <w:proofErr w:type="spellEnd"/>
      <w:r w:rsidRPr="00CA1BDB">
        <w:rPr>
          <w:rFonts w:ascii="Arial" w:eastAsia="Times New Roman" w:hAnsi="Arial" w:cs="Arial"/>
          <w:color w:val="333333"/>
          <w:sz w:val="18"/>
          <w:szCs w:val="18"/>
        </w:rPr>
        <w:t xml:space="preserve">. Thomas </w:t>
      </w:r>
      <w:proofErr w:type="spellStart"/>
      <w:r w:rsidRPr="00CA1BDB">
        <w:rPr>
          <w:rFonts w:ascii="Arial" w:eastAsia="Times New Roman" w:hAnsi="Arial" w:cs="Arial"/>
          <w:color w:val="333333"/>
          <w:sz w:val="18"/>
          <w:szCs w:val="18"/>
        </w:rPr>
        <w:t>UniversityNUR</w:t>
      </w:r>
      <w:proofErr w:type="spellEnd"/>
      <w:r w:rsidRPr="00CA1BDB">
        <w:rPr>
          <w:rFonts w:ascii="Arial" w:eastAsia="Times New Roman" w:hAnsi="Arial" w:cs="Arial"/>
          <w:color w:val="333333"/>
          <w:sz w:val="18"/>
          <w:szCs w:val="18"/>
        </w:rPr>
        <w:t xml:space="preserve"> 507-AP2: Advanced FNP Child &amp; </w:t>
      </w:r>
      <w:proofErr w:type="spellStart"/>
      <w:r w:rsidRPr="00CA1BDB">
        <w:rPr>
          <w:rFonts w:ascii="Arial" w:eastAsia="Times New Roman" w:hAnsi="Arial" w:cs="Arial"/>
          <w:color w:val="333333"/>
          <w:sz w:val="18"/>
          <w:szCs w:val="18"/>
        </w:rPr>
        <w:t>FamilyDr</w:t>
      </w:r>
      <w:proofErr w:type="spellEnd"/>
      <w:r w:rsidRPr="00CA1BDB">
        <w:rPr>
          <w:rFonts w:ascii="Arial" w:eastAsia="Times New Roman" w:hAnsi="Arial" w:cs="Arial"/>
          <w:color w:val="333333"/>
          <w:sz w:val="18"/>
          <w:szCs w:val="18"/>
        </w:rPr>
        <w:t xml:space="preserve">. Doris </w:t>
      </w:r>
      <w:proofErr w:type="spellStart"/>
      <w:r w:rsidRPr="00CA1BDB">
        <w:rPr>
          <w:rFonts w:ascii="Arial" w:eastAsia="Times New Roman" w:hAnsi="Arial" w:cs="Arial"/>
          <w:color w:val="333333"/>
          <w:sz w:val="18"/>
          <w:szCs w:val="18"/>
        </w:rPr>
        <w:t>TeranJanuary</w:t>
      </w:r>
      <w:proofErr w:type="spellEnd"/>
      <w:r w:rsidRPr="00CA1BDB">
        <w:rPr>
          <w:rFonts w:ascii="Arial" w:eastAsia="Times New Roman" w:hAnsi="Arial" w:cs="Arial"/>
          <w:color w:val="333333"/>
          <w:sz w:val="18"/>
          <w:szCs w:val="18"/>
        </w:rPr>
        <w:t xml:space="preserve"> 18th, 2023</w:t>
      </w:r>
      <w:r w:rsidRPr="00CA1BDB">
        <w:rPr>
          <w:rFonts w:ascii="Arial" w:eastAsia="Times New Roman" w:hAnsi="Arial" w:cs="Arial"/>
          <w:b/>
          <w:bCs/>
          <w:color w:val="333333"/>
          <w:sz w:val="18"/>
        </w:rPr>
        <w:t> Management of Development</w:t>
      </w:r>
      <w:r w:rsidRPr="00CA1BDB">
        <w:rPr>
          <w:rFonts w:ascii="Arial" w:eastAsia="Times New Roman" w:hAnsi="Arial" w:cs="Arial"/>
          <w:color w:val="333333"/>
          <w:sz w:val="18"/>
          <w:szCs w:val="18"/>
        </w:rPr>
        <w:t> Anticipatory guidance is given by the health care provider to assist parents or guardians in the understanding of the expected growth and development of their children. Anticipatory guidance, specific to the age of the patient, includes information about the benefits of healthy lifestyles and practices that promote injury and disease prevention (</w:t>
      </w:r>
      <w:proofErr w:type="spellStart"/>
      <w:r w:rsidRPr="00CA1BDB">
        <w:rPr>
          <w:rFonts w:ascii="Arial" w:eastAsia="Times New Roman" w:hAnsi="Arial" w:cs="Arial"/>
          <w:color w:val="333333"/>
          <w:sz w:val="18"/>
          <w:szCs w:val="18"/>
        </w:rPr>
        <w:t>Panza</w:t>
      </w:r>
      <w:proofErr w:type="spellEnd"/>
      <w:r w:rsidRPr="00CA1BDB">
        <w:rPr>
          <w:rFonts w:ascii="Arial" w:eastAsia="Times New Roman" w:hAnsi="Arial" w:cs="Arial"/>
          <w:color w:val="333333"/>
          <w:sz w:val="18"/>
          <w:szCs w:val="18"/>
        </w:rPr>
        <w:t xml:space="preserve"> et al., 2020). List strategies that might be used by a pediatric primary care provider to incorporate developmental anticipatory guidance into the following sick </w:t>
      </w:r>
      <w:proofErr w:type="spellStart"/>
      <w:r w:rsidRPr="00CA1BDB">
        <w:rPr>
          <w:rFonts w:ascii="Arial" w:eastAsia="Times New Roman" w:hAnsi="Arial" w:cs="Arial"/>
          <w:color w:val="333333"/>
          <w:sz w:val="18"/>
          <w:szCs w:val="18"/>
        </w:rPr>
        <w:t>visits</w:t>
      </w:r>
      <w:proofErr w:type="gramStart"/>
      <w:r w:rsidRPr="00CA1BDB">
        <w:rPr>
          <w:rFonts w:ascii="Arial" w:eastAsia="Times New Roman" w:hAnsi="Arial" w:cs="Arial"/>
          <w:color w:val="333333"/>
          <w:sz w:val="18"/>
          <w:szCs w:val="18"/>
        </w:rPr>
        <w:t>:</w:t>
      </w:r>
      <w:r w:rsidRPr="00CA1BDB">
        <w:rPr>
          <w:rFonts w:ascii="Arial" w:eastAsia="Times New Roman" w:hAnsi="Arial" w:cs="Arial"/>
          <w:b/>
          <w:bCs/>
          <w:color w:val="333333"/>
          <w:sz w:val="18"/>
        </w:rPr>
        <w:t>An</w:t>
      </w:r>
      <w:proofErr w:type="spellEnd"/>
      <w:proofErr w:type="gramEnd"/>
      <w:r w:rsidRPr="00CA1BDB">
        <w:rPr>
          <w:rFonts w:ascii="Arial" w:eastAsia="Times New Roman" w:hAnsi="Arial" w:cs="Arial"/>
          <w:b/>
          <w:bCs/>
          <w:color w:val="333333"/>
          <w:sz w:val="18"/>
        </w:rPr>
        <w:t xml:space="preserve"> 18-month-old with an acute upper respiratory infection</w:t>
      </w:r>
      <w:r w:rsidRPr="00CA1BDB">
        <w:rPr>
          <w:rFonts w:ascii="Arial" w:eastAsia="Times New Roman" w:hAnsi="Arial" w:cs="Arial"/>
          <w:color w:val="333333"/>
          <w:sz w:val="18"/>
          <w:szCs w:val="18"/>
        </w:rPr>
        <w:t xml:space="preserve"> Anticipatory guidance for toddlers and preschoolers helps parents and children transition from a highly dependent relationship to one in which the child has an established sense of autonomy with an evolving understanding of the self as a separate, creative, and powerful being. During the process, parents learn new communication and interaction skills with their children. Although the toddler and preschool years can be frustrating at times, the </w:t>
      </w:r>
      <w:r w:rsidRPr="00CA1BDB">
        <w:rPr>
          <w:rFonts w:ascii="Arial" w:eastAsia="Times New Roman" w:hAnsi="Arial" w:cs="Arial"/>
          <w:color w:val="333333"/>
          <w:sz w:val="18"/>
          <w:szCs w:val="18"/>
        </w:rPr>
        <w:lastRenderedPageBreak/>
        <w:t xml:space="preserve">ultimate outcome of good communication and relationships that support the potential of both child and parent is worth the 92effort. According to the AAP recommendations for preventive pediatric health care and the Bright Futures Guidelines, providers should offer anticipatory guidance in all of the following areas: family support, child development, mental health, healthy weight, healthy nutrition, physical activity, oral health, healthy sexual development and sexuality, safety and injury prevention, community relationships, and resources; they should also provide educational counseling and support services (Burns et al., 2017, p. 91). Pediatric clinicians will more often provide care instructions by using posters, leaflet, charts, or pamphlets to instruct the parents or guardians about the etiology or </w:t>
      </w:r>
      <w:proofErr w:type="spellStart"/>
      <w:r w:rsidRPr="00CA1BDB">
        <w:rPr>
          <w:rFonts w:ascii="Arial" w:eastAsia="Times New Roman" w:hAnsi="Arial" w:cs="Arial"/>
          <w:color w:val="333333"/>
          <w:sz w:val="18"/>
          <w:szCs w:val="18"/>
        </w:rPr>
        <w:t>pathophysiology</w:t>
      </w:r>
      <w:proofErr w:type="spellEnd"/>
      <w:r w:rsidRPr="00CA1BDB">
        <w:rPr>
          <w:rFonts w:ascii="Arial" w:eastAsia="Times New Roman" w:hAnsi="Arial" w:cs="Arial"/>
          <w:color w:val="333333"/>
          <w:sz w:val="18"/>
          <w:szCs w:val="18"/>
        </w:rPr>
        <w:t xml:space="preserve"> of upper respiratory infection, complications, how to care for the child at home, and when to seek for assistance. The most important information that parent should understand that an upper respiratory infection, also called a URI, is an infection of the nose, sinuses, or throat. URIs </w:t>
      </w:r>
      <w:proofErr w:type="gramStart"/>
      <w:r w:rsidRPr="00CA1BDB">
        <w:rPr>
          <w:rFonts w:ascii="Arial" w:eastAsia="Times New Roman" w:hAnsi="Arial" w:cs="Arial"/>
          <w:color w:val="333333"/>
          <w:sz w:val="18"/>
          <w:szCs w:val="18"/>
        </w:rPr>
        <w:t>are</w:t>
      </w:r>
      <w:proofErr w:type="gramEnd"/>
      <w:r w:rsidRPr="00CA1BDB">
        <w:rPr>
          <w:rFonts w:ascii="Arial" w:eastAsia="Times New Roman" w:hAnsi="Arial" w:cs="Arial"/>
          <w:color w:val="333333"/>
          <w:sz w:val="18"/>
          <w:szCs w:val="18"/>
        </w:rPr>
        <w:t xml:space="preserve"> spread by coughs, sneezes, and direct contact. The common cold is the most frequent kind of URI. The flu and sinus infections are other kinds of URIs (Esposito et al., 2020). Almost all URIs are caused by viruses, so antibiotics will not cure them. But you can do things at home to help your child get better. The anticipatory guidance instructions are usually including the common following preventive strategies or measures: proper hand washing and avoidance of close contact to prevent the spread of the disease; OTC children’s medications that can be used to help with fever, pain, or fussiness and the importance of following all instructions on the label; immunization against specific pathogens; improvement in nutrition by feeding the child warm foods and fluids; and dress the child properly in warm clothing during cold weather (Esposito et al., 2020).</w:t>
      </w:r>
      <w:r w:rsidRPr="00CA1BDB">
        <w:rPr>
          <w:rFonts w:ascii="Arial" w:eastAsia="Times New Roman" w:hAnsi="Arial" w:cs="Arial"/>
          <w:b/>
          <w:bCs/>
          <w:color w:val="333333"/>
          <w:sz w:val="18"/>
        </w:rPr>
        <w:t>A 4-year-old with stool withholding and constipation</w:t>
      </w:r>
      <w:r w:rsidRPr="00CA1BDB">
        <w:rPr>
          <w:rFonts w:ascii="Arial" w:eastAsia="Times New Roman" w:hAnsi="Arial" w:cs="Arial"/>
          <w:color w:val="333333"/>
          <w:sz w:val="18"/>
          <w:szCs w:val="18"/>
        </w:rPr>
        <w:t xml:space="preserve"> Problems of elimination can be analyzed at the physiologic level of the genitourinary or gastrointestinal systems or in terms of daily living patterns. Enuresis and </w:t>
      </w:r>
      <w:proofErr w:type="spellStart"/>
      <w:r w:rsidRPr="00CA1BDB">
        <w:rPr>
          <w:rFonts w:ascii="Arial" w:eastAsia="Times New Roman" w:hAnsi="Arial" w:cs="Arial"/>
          <w:color w:val="333333"/>
          <w:sz w:val="18"/>
          <w:szCs w:val="18"/>
        </w:rPr>
        <w:t>encopresis</w:t>
      </w:r>
      <w:proofErr w:type="spellEnd"/>
      <w:r w:rsidRPr="00CA1BDB">
        <w:rPr>
          <w:rFonts w:ascii="Arial" w:eastAsia="Times New Roman" w:hAnsi="Arial" w:cs="Arial"/>
          <w:color w:val="333333"/>
          <w:sz w:val="18"/>
          <w:szCs w:val="18"/>
        </w:rPr>
        <w:t xml:space="preserve"> are daily living problems (bowel and bladder habits) that fall into this area. Physiologically, the child is well, but the elimination habits are problematic. Toddlers and preschoolers usually have regular elimination patterns. Although they typically have one to three stools a day, they should stool at least 5 to 7 days a week. Normal stools have an unpleasant odor and should be slender, light to medium brown, mushy, and easily passed by the child. Moreover, Toilet training occurs in the toddler and preschool years and is usually complete by the time the child is 4 years old, with the majority of children training between and years old. Successful toilet training requires sensitivity, understanding of development, good communication, hope, humor, and patience. In addition to becoming self-sufficient in their toileting, children should also learn that elimination is a natural and necessary process. As self-toileting is mastered, both parents and children should experience pride and satisfaction in having worked together to accomplish an important developmental task (Burns et al., 2017, p. 216-220). The health care provider plays an important role in providing anticipatory guidance to parents. The anticipatory guidance instructions are usually including the common following preventive strategies or measures: ensure adequate fiber and water intake for age; decrease milk to 16 oz/day; do not allow excessive dairy, rice, applesauce, bananas, white flour, or potatoes; give child all responsibility for own toilet habits; establish a regular toileting routine; avoid use of stool softeners or laxatives; encourage daily physical activity per AAP recommendations; and may use incentives or rewards to reinforce positive behavior. Pediatric clinicians could have parent and child agree on reward beforehand so that it can be discussed as a positive, subtle reminder. Additionally, Fiber recommendations: 4- to 8-year-olds: about 25 g of fiber each day; 9- to 13-year-old girls: about 26 g of fiber each day; 9- to 13-year-old boys: about 31 g of fiber each day; 14- to 18-year-old girls: about 26 g of fiber each day; and 14- to 18-year-old boys: about 38 g of fiber each day. Legumes, vegetables, and some fruits are good sources of fiber. Recommended water intake is about 1 oz/kg/day (Burns et al., 2017, p. 222).</w:t>
      </w:r>
      <w:r w:rsidRPr="00CA1BDB">
        <w:rPr>
          <w:rFonts w:ascii="Arial" w:eastAsia="Times New Roman" w:hAnsi="Arial" w:cs="Arial"/>
          <w:b/>
          <w:bCs/>
          <w:color w:val="333333"/>
          <w:sz w:val="18"/>
        </w:rPr>
        <w:t>A 9-year-old with chronic headaches</w:t>
      </w:r>
      <w:r w:rsidRPr="00CA1BDB">
        <w:rPr>
          <w:rFonts w:ascii="Arial" w:eastAsia="Times New Roman" w:hAnsi="Arial" w:cs="Arial"/>
          <w:color w:val="333333"/>
          <w:sz w:val="18"/>
          <w:szCs w:val="18"/>
        </w:rPr>
        <w:t xml:space="preserve"> Headaches are a common complaint in children and adolescents, occurring in up to 75 percent of school-aged children. The frequency of headaches is greater in adolescents than in younger children. There are many possible causes of headaches, from common and </w:t>
      </w:r>
      <w:proofErr w:type="spellStart"/>
      <w:r w:rsidRPr="00CA1BDB">
        <w:rPr>
          <w:rFonts w:ascii="Arial" w:eastAsia="Times New Roman" w:hAnsi="Arial" w:cs="Arial"/>
          <w:color w:val="333333"/>
          <w:sz w:val="18"/>
          <w:szCs w:val="18"/>
        </w:rPr>
        <w:t>nonharmful</w:t>
      </w:r>
      <w:proofErr w:type="spellEnd"/>
      <w:r w:rsidRPr="00CA1BDB">
        <w:rPr>
          <w:rFonts w:ascii="Arial" w:eastAsia="Times New Roman" w:hAnsi="Arial" w:cs="Arial"/>
          <w:color w:val="333333"/>
          <w:sz w:val="18"/>
          <w:szCs w:val="18"/>
        </w:rPr>
        <w:t xml:space="preserve"> to rare but serious conditions. Headache is a symptom and not a disease or disorder itself. The symptoms in a child depend upon the child's age, the type of headache, and the underlying disorders. Headaches are generally classified as primary or secondary. The most common types of primary headaches in childhood are migraine and tension-type headaches, while the most common secondary headaches are associated with an infectious illness or are related to head injury (</w:t>
      </w:r>
      <w:proofErr w:type="spellStart"/>
      <w:r w:rsidRPr="00CA1BDB">
        <w:rPr>
          <w:rFonts w:ascii="Arial" w:eastAsia="Times New Roman" w:hAnsi="Arial" w:cs="Arial"/>
          <w:color w:val="333333"/>
          <w:sz w:val="18"/>
          <w:szCs w:val="18"/>
        </w:rPr>
        <w:t>Bonthius</w:t>
      </w:r>
      <w:proofErr w:type="spellEnd"/>
      <w:r w:rsidRPr="00CA1BDB">
        <w:rPr>
          <w:rFonts w:ascii="Arial" w:eastAsia="Times New Roman" w:hAnsi="Arial" w:cs="Arial"/>
          <w:color w:val="333333"/>
          <w:sz w:val="18"/>
          <w:szCs w:val="18"/>
        </w:rPr>
        <w:t xml:space="preserve"> &amp; Hershey, 2022). Furthermore, the anticipatory guidance instructions are usually including the common following preventive strategies or measures: Identify and reduce or eliminate any factor that causes or worsens headaches such as tress, lack of sleep, excess screen time, dietary factors; cognitive behavioral therapy (CBT) and maintenance of healthy habits are helpful in reducing or eliminating factors that cause or worsen headaches; encourage the child to rest and apply a cool wet cloth to the forehead; Stretch and massage the neck muscles if they are tight or tender. However, this may worsen the headache in some children with </w:t>
      </w:r>
      <w:proofErr w:type="spellStart"/>
      <w:r w:rsidRPr="00CA1BDB">
        <w:rPr>
          <w:rFonts w:ascii="Arial" w:eastAsia="Times New Roman" w:hAnsi="Arial" w:cs="Arial"/>
          <w:color w:val="333333"/>
          <w:sz w:val="18"/>
          <w:szCs w:val="18"/>
        </w:rPr>
        <w:t>allodynia</w:t>
      </w:r>
      <w:proofErr w:type="spellEnd"/>
      <w:r w:rsidRPr="00CA1BDB">
        <w:rPr>
          <w:rFonts w:ascii="Arial" w:eastAsia="Times New Roman" w:hAnsi="Arial" w:cs="Arial"/>
          <w:color w:val="333333"/>
          <w:sz w:val="18"/>
          <w:szCs w:val="18"/>
        </w:rPr>
        <w:t xml:space="preserve">; offer a snack. Skipping meals can sometimes trigger or worsen a headache; Notify the child's health care provider if any warning signs develop, including fever, stiff neck, loss of vision, or double vision; encourage the child to drink an adequate amount of fluids, eating a healthy diet; avoid overuse acute or OTC medications, and this overuse may play a major role in causing their chronic headaches; encourage the child to return to his or her daily activities and school. Management of chronic headaches requires a coordinated approach with the child's clinician and should be individualized according </w:t>
      </w:r>
      <w:r w:rsidRPr="00CA1BDB">
        <w:rPr>
          <w:rFonts w:ascii="Arial" w:eastAsia="Times New Roman" w:hAnsi="Arial" w:cs="Arial"/>
          <w:color w:val="333333"/>
          <w:sz w:val="18"/>
          <w:szCs w:val="18"/>
        </w:rPr>
        <w:lastRenderedPageBreak/>
        <w:t>to the needs of the child; clear guidelines regarding the use of acute medications should be discussed (</w:t>
      </w:r>
      <w:proofErr w:type="spellStart"/>
      <w:r w:rsidRPr="00CA1BDB">
        <w:rPr>
          <w:rFonts w:ascii="Arial" w:eastAsia="Times New Roman" w:hAnsi="Arial" w:cs="Arial"/>
          <w:color w:val="333333"/>
          <w:sz w:val="18"/>
          <w:szCs w:val="18"/>
        </w:rPr>
        <w:t>Bonthius</w:t>
      </w:r>
      <w:proofErr w:type="spellEnd"/>
      <w:r w:rsidRPr="00CA1BDB">
        <w:rPr>
          <w:rFonts w:ascii="Arial" w:eastAsia="Times New Roman" w:hAnsi="Arial" w:cs="Arial"/>
          <w:color w:val="333333"/>
          <w:sz w:val="18"/>
          <w:szCs w:val="18"/>
        </w:rPr>
        <w:t xml:space="preserve"> &amp; Hershey, 2022).</w:t>
      </w:r>
      <w:r w:rsidRPr="00CA1BDB">
        <w:rPr>
          <w:rFonts w:ascii="Arial" w:eastAsia="Times New Roman" w:hAnsi="Arial" w:cs="Arial"/>
          <w:b/>
          <w:bCs/>
          <w:color w:val="333333"/>
          <w:sz w:val="18"/>
        </w:rPr>
        <w:t xml:space="preserve">A 15-year-old with </w:t>
      </w:r>
      <w:proofErr w:type="spellStart"/>
      <w:r w:rsidRPr="00CA1BDB">
        <w:rPr>
          <w:rFonts w:ascii="Arial" w:eastAsia="Times New Roman" w:hAnsi="Arial" w:cs="Arial"/>
          <w:b/>
          <w:bCs/>
          <w:color w:val="333333"/>
          <w:sz w:val="18"/>
        </w:rPr>
        <w:t>dysmenorrhea</w:t>
      </w:r>
      <w:proofErr w:type="spellEnd"/>
      <w:r w:rsidRPr="00CA1BDB">
        <w:rPr>
          <w:rFonts w:ascii="Arial" w:eastAsia="Times New Roman" w:hAnsi="Arial" w:cs="Arial"/>
          <w:b/>
          <w:bCs/>
          <w:color w:val="333333"/>
          <w:sz w:val="18"/>
        </w:rPr>
        <w:t>.</w:t>
      </w:r>
      <w:r w:rsidRPr="00CA1BDB">
        <w:rPr>
          <w:rFonts w:ascii="Arial" w:eastAsia="Times New Roman" w:hAnsi="Arial" w:cs="Arial"/>
          <w:color w:val="333333"/>
          <w:sz w:val="18"/>
          <w:szCs w:val="18"/>
        </w:rPr>
        <w:t xml:space="preserve"> Anticipatory guidance related to gynecologic issues is important to </w:t>
      </w:r>
      <w:proofErr w:type="gramStart"/>
      <w:r w:rsidRPr="00CA1BDB">
        <w:rPr>
          <w:rFonts w:ascii="Arial" w:eastAsia="Times New Roman" w:hAnsi="Arial" w:cs="Arial"/>
          <w:color w:val="333333"/>
          <w:sz w:val="18"/>
          <w:szCs w:val="18"/>
        </w:rPr>
        <w:t>both the child or</w:t>
      </w:r>
      <w:proofErr w:type="gramEnd"/>
      <w:r w:rsidRPr="00CA1BDB">
        <w:rPr>
          <w:rFonts w:ascii="Arial" w:eastAsia="Times New Roman" w:hAnsi="Arial" w:cs="Arial"/>
          <w:color w:val="333333"/>
          <w:sz w:val="18"/>
          <w:szCs w:val="18"/>
        </w:rPr>
        <w:t xml:space="preserve"> adolescent and parents. Attention to appropriate genital hygiene can help prevent some potential childhood problems. The transition to puberty and establishment of menses is eased with appropriate education and counseling beforehand. With the advent of puberty and the increasing interest in sexuality, a great deal of guidance is needed to help the adolescent and her parents through these transitions. Counseling and education related to normal gynecologic conditions and disorders of the gynecologic system need to be tailored to the child or adolescent and the parents. Confidentiality is a matter to be established with both the parents and the adolescent. Some states have specific laws that allow providers to treat adolescents for obstetric and family planning conditions without parental knowledge or consent. Moreover, painful menstruation with cramping in the lower abdomen or pelvis is the most common gynecologic problem seen in adolescence. Primary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has no pelvic pathologic condition identified, whereas secondary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is due to a pelvic pathologic condition (Burns et al., 2017, p. 954). Furthermore, the anticipatory guidance instructions are usually including the common following preventive strategies or measures: Prostaglandin </w:t>
      </w:r>
      <w:proofErr w:type="spellStart"/>
      <w:r w:rsidRPr="00CA1BDB">
        <w:rPr>
          <w:rFonts w:ascii="Arial" w:eastAsia="Times New Roman" w:hAnsi="Arial" w:cs="Arial"/>
          <w:color w:val="333333"/>
          <w:sz w:val="18"/>
          <w:szCs w:val="18"/>
        </w:rPr>
        <w:t>synthetase</w:t>
      </w:r>
      <w:proofErr w:type="spellEnd"/>
      <w:r w:rsidRPr="00CA1BDB">
        <w:rPr>
          <w:rFonts w:ascii="Arial" w:eastAsia="Times New Roman" w:hAnsi="Arial" w:cs="Arial"/>
          <w:color w:val="333333"/>
          <w:sz w:val="18"/>
          <w:szCs w:val="18"/>
        </w:rPr>
        <w:t xml:space="preserve"> inhibitors provide relief in 70% to 80% of patients. They should be administered at onset of menses or, if cramping precedes menses, at onset of symptoms. Treat the patient for the duration of the pain, usually 1 to 2 days. </w:t>
      </w:r>
      <w:proofErr w:type="spellStart"/>
      <w:r w:rsidRPr="00CA1BDB">
        <w:rPr>
          <w:rFonts w:ascii="Arial" w:eastAsia="Times New Roman" w:hAnsi="Arial" w:cs="Arial"/>
          <w:color w:val="333333"/>
          <w:sz w:val="18"/>
          <w:szCs w:val="18"/>
        </w:rPr>
        <w:t>Nonsteroidal</w:t>
      </w:r>
      <w:proofErr w:type="spellEnd"/>
      <w:r w:rsidRPr="00CA1BDB">
        <w:rPr>
          <w:rFonts w:ascii="Arial" w:eastAsia="Times New Roman" w:hAnsi="Arial" w:cs="Arial"/>
          <w:color w:val="333333"/>
          <w:sz w:val="18"/>
          <w:szCs w:val="18"/>
        </w:rPr>
        <w:t xml:space="preserve"> anti-inflammatory drugs (NSAIDs) are advantageous as first-line therapy because they need to be taken for only 2 to 3 days. Ibuprofen and naproxen are widely used in clinical practice, but if ineffective, use one of the </w:t>
      </w:r>
      <w:proofErr w:type="spellStart"/>
      <w:r w:rsidRPr="00CA1BDB">
        <w:rPr>
          <w:rFonts w:ascii="Arial" w:eastAsia="Times New Roman" w:hAnsi="Arial" w:cs="Arial"/>
          <w:color w:val="333333"/>
          <w:sz w:val="18"/>
          <w:szCs w:val="18"/>
        </w:rPr>
        <w:t>fenamates</w:t>
      </w:r>
      <w:proofErr w:type="spellEnd"/>
      <w:r w:rsidRPr="00CA1BDB">
        <w:rPr>
          <w:rFonts w:ascii="Arial" w:eastAsia="Times New Roman" w:hAnsi="Arial" w:cs="Arial"/>
          <w:color w:val="333333"/>
          <w:sz w:val="18"/>
          <w:szCs w:val="18"/>
        </w:rPr>
        <w:t xml:space="preserve">. Taking NSAIDs with food helps prevent abdominal complaints. OCPs are widely used for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Because they suppress ovulation, total progesterone-induced prostaglandin production is decreased in the </w:t>
      </w:r>
      <w:proofErr w:type="spellStart"/>
      <w:r w:rsidRPr="00CA1BDB">
        <w:rPr>
          <w:rFonts w:ascii="Arial" w:eastAsia="Times New Roman" w:hAnsi="Arial" w:cs="Arial"/>
          <w:color w:val="333333"/>
          <w:sz w:val="18"/>
          <w:szCs w:val="18"/>
        </w:rPr>
        <w:t>endometrium</w:t>
      </w:r>
      <w:proofErr w:type="spellEnd"/>
      <w:r w:rsidRPr="00CA1BDB">
        <w:rPr>
          <w:rFonts w:ascii="Arial" w:eastAsia="Times New Roman" w:hAnsi="Arial" w:cs="Arial"/>
          <w:color w:val="333333"/>
          <w:sz w:val="18"/>
          <w:szCs w:val="18"/>
        </w:rPr>
        <w:t>. A 30- to 35-mcg estrogen-progestin combination pill may be used for a 3- to 6-month trial if prostaglandin inhibitors are not successful. CAM is likely to be beneficial per the Cochrane Review Group. Additionally, the following other strategies might be beneficial: Application of topical heat; Thiamine 100 mg/day; Toki-</w:t>
      </w:r>
      <w:proofErr w:type="spellStart"/>
      <w:r w:rsidRPr="00CA1BDB">
        <w:rPr>
          <w:rFonts w:ascii="Arial" w:eastAsia="Times New Roman" w:hAnsi="Arial" w:cs="Arial"/>
          <w:color w:val="333333"/>
          <w:sz w:val="18"/>
          <w:szCs w:val="18"/>
        </w:rPr>
        <w:t>shakuyaku</w:t>
      </w:r>
      <w:proofErr w:type="spellEnd"/>
      <w:r w:rsidRPr="00CA1BDB">
        <w:rPr>
          <w:rFonts w:ascii="Arial" w:eastAsia="Times New Roman" w:hAnsi="Arial" w:cs="Arial"/>
          <w:color w:val="333333"/>
          <w:sz w:val="18"/>
          <w:szCs w:val="18"/>
        </w:rPr>
        <w:t xml:space="preserve">-san (herbal remedy) 2.5 g three times daily; High-frequency </w:t>
      </w:r>
      <w:proofErr w:type="spellStart"/>
      <w:r w:rsidRPr="00CA1BDB">
        <w:rPr>
          <w:rFonts w:ascii="Arial" w:eastAsia="Times New Roman" w:hAnsi="Arial" w:cs="Arial"/>
          <w:color w:val="333333"/>
          <w:sz w:val="18"/>
          <w:szCs w:val="18"/>
        </w:rPr>
        <w:t>transcutaneous</w:t>
      </w:r>
      <w:proofErr w:type="spellEnd"/>
      <w:r w:rsidRPr="00CA1BDB">
        <w:rPr>
          <w:rFonts w:ascii="Arial" w:eastAsia="Times New Roman" w:hAnsi="Arial" w:cs="Arial"/>
          <w:color w:val="333333"/>
          <w:sz w:val="18"/>
          <w:szCs w:val="18"/>
        </w:rPr>
        <w:t xml:space="preserve"> electrical nerve stimulation (TENS); Vitamin E, 500 units/day; Magnesium; Follow up by telephone or visit to adjust dose or change medication as needed; the adolescent should be seen again in 3 to 4 months. If failure to respond after 6 months of treatment or if pain worsens over time, a further workup is warranted. Secondary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requires a full diagnostic workup and often a referral for gynecologic care. Exercise and stress reduction may help decrease pain. A well-balanced diet with ample amounts of fiber and water, in addition to decreasing caffeine, chocolate, and salt intake, may be useful to control </w:t>
      </w:r>
      <w:proofErr w:type="spellStart"/>
      <w:r w:rsidRPr="00CA1BDB">
        <w:rPr>
          <w:rFonts w:ascii="Arial" w:eastAsia="Times New Roman" w:hAnsi="Arial" w:cs="Arial"/>
          <w:color w:val="333333"/>
          <w:sz w:val="18"/>
          <w:szCs w:val="18"/>
        </w:rPr>
        <w:t>dysmenorrhea</w:t>
      </w:r>
      <w:proofErr w:type="spellEnd"/>
      <w:r w:rsidRPr="00CA1BDB">
        <w:rPr>
          <w:rFonts w:ascii="Arial" w:eastAsia="Times New Roman" w:hAnsi="Arial" w:cs="Arial"/>
          <w:color w:val="333333"/>
          <w:sz w:val="18"/>
          <w:szCs w:val="18"/>
        </w:rPr>
        <w:t xml:space="preserve"> (Burns et al., 2017, p. 968).</w:t>
      </w:r>
      <w:r w:rsidRPr="00CA1BDB">
        <w:rPr>
          <w:rFonts w:ascii="Arial" w:eastAsia="Times New Roman" w:hAnsi="Arial" w:cs="Arial"/>
          <w:b/>
          <w:bCs/>
          <w:color w:val="333333"/>
          <w:sz w:val="18"/>
        </w:rPr>
        <w:t> </w:t>
      </w:r>
      <w:proofErr w:type="spellStart"/>
      <w:proofErr w:type="gramStart"/>
      <w:r w:rsidRPr="00CA1BDB">
        <w:rPr>
          <w:rFonts w:ascii="Arial" w:eastAsia="Times New Roman" w:hAnsi="Arial" w:cs="Arial"/>
          <w:b/>
          <w:bCs/>
          <w:color w:val="333333"/>
          <w:sz w:val="18"/>
        </w:rPr>
        <w:t>References</w:t>
      </w:r>
      <w:r w:rsidRPr="00CA1BDB">
        <w:rPr>
          <w:rFonts w:ascii="Arial" w:eastAsia="Times New Roman" w:hAnsi="Arial" w:cs="Arial"/>
          <w:color w:val="333333"/>
          <w:sz w:val="18"/>
          <w:szCs w:val="18"/>
        </w:rPr>
        <w:t>Bonthius</w:t>
      </w:r>
      <w:proofErr w:type="spellEnd"/>
      <w:r w:rsidRPr="00CA1BDB">
        <w:rPr>
          <w:rFonts w:ascii="Arial" w:eastAsia="Times New Roman" w:hAnsi="Arial" w:cs="Arial"/>
          <w:color w:val="333333"/>
          <w:sz w:val="18"/>
          <w:szCs w:val="18"/>
        </w:rPr>
        <w:t>, B., &amp; Hershey, D. (2022).</w:t>
      </w:r>
      <w:proofErr w:type="gramEnd"/>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Patient education: Headache in children (Beyond the Basics)</w:t>
      </w:r>
      <w:r w:rsidRPr="00CA1BDB">
        <w:rPr>
          <w:rFonts w:ascii="Arial" w:eastAsia="Times New Roman" w:hAnsi="Arial" w:cs="Arial"/>
          <w:color w:val="333333"/>
          <w:sz w:val="18"/>
          <w:szCs w:val="18"/>
        </w:rPr>
        <w:t xml:space="preserve"> (E. </w:t>
      </w:r>
      <w:proofErr w:type="spellStart"/>
      <w:r w:rsidRPr="00CA1BDB">
        <w:rPr>
          <w:rFonts w:ascii="Arial" w:eastAsia="Times New Roman" w:hAnsi="Arial" w:cs="Arial"/>
          <w:color w:val="333333"/>
          <w:sz w:val="18"/>
          <w:szCs w:val="18"/>
        </w:rPr>
        <w:t>Drutz</w:t>
      </w:r>
      <w:proofErr w:type="spellEnd"/>
      <w:r w:rsidRPr="00CA1BDB">
        <w:rPr>
          <w:rFonts w:ascii="Arial" w:eastAsia="Times New Roman" w:hAnsi="Arial" w:cs="Arial"/>
          <w:color w:val="333333"/>
          <w:sz w:val="18"/>
          <w:szCs w:val="18"/>
        </w:rPr>
        <w:t xml:space="preserve">, C. Patterson, W. Swanson, &amp; M. </w:t>
      </w:r>
      <w:proofErr w:type="spellStart"/>
      <w:r w:rsidRPr="00CA1BDB">
        <w:rPr>
          <w:rFonts w:ascii="Arial" w:eastAsia="Times New Roman" w:hAnsi="Arial" w:cs="Arial"/>
          <w:color w:val="333333"/>
          <w:sz w:val="18"/>
          <w:szCs w:val="18"/>
        </w:rPr>
        <w:t>Torchia</w:t>
      </w:r>
      <w:proofErr w:type="spellEnd"/>
      <w:r w:rsidRPr="00CA1BDB">
        <w:rPr>
          <w:rFonts w:ascii="Arial" w:eastAsia="Times New Roman" w:hAnsi="Arial" w:cs="Arial"/>
          <w:color w:val="333333"/>
          <w:sz w:val="18"/>
          <w:szCs w:val="18"/>
        </w:rPr>
        <w:t xml:space="preserve">, Eds.). </w:t>
      </w:r>
      <w:proofErr w:type="spellStart"/>
      <w:r w:rsidRPr="00CA1BDB">
        <w:rPr>
          <w:rFonts w:ascii="Arial" w:eastAsia="Times New Roman" w:hAnsi="Arial" w:cs="Arial"/>
          <w:color w:val="333333"/>
          <w:sz w:val="18"/>
          <w:szCs w:val="18"/>
        </w:rPr>
        <w:t>UpToDate</w:t>
      </w:r>
      <w:proofErr w:type="spellEnd"/>
      <w:r w:rsidRPr="00CA1BDB">
        <w:rPr>
          <w:rFonts w:ascii="Arial" w:eastAsia="Times New Roman" w:hAnsi="Arial" w:cs="Arial"/>
          <w:color w:val="333333"/>
          <w:sz w:val="18"/>
          <w:szCs w:val="18"/>
        </w:rPr>
        <w:t xml:space="preserve"> </w:t>
      </w:r>
      <w:proofErr w:type="spellStart"/>
      <w:r w:rsidRPr="00CA1BDB">
        <w:rPr>
          <w:rFonts w:ascii="Arial" w:eastAsia="Times New Roman" w:hAnsi="Arial" w:cs="Arial"/>
          <w:color w:val="333333"/>
          <w:sz w:val="18"/>
          <w:szCs w:val="18"/>
        </w:rPr>
        <w:t>Wolters</w:t>
      </w:r>
      <w:proofErr w:type="spellEnd"/>
      <w:r w:rsidRPr="00CA1BDB">
        <w:rPr>
          <w:rFonts w:ascii="Arial" w:eastAsia="Times New Roman" w:hAnsi="Arial" w:cs="Arial"/>
          <w:color w:val="333333"/>
          <w:sz w:val="18"/>
          <w:szCs w:val="18"/>
        </w:rPr>
        <w:t xml:space="preserve"> </w:t>
      </w:r>
      <w:proofErr w:type="spellStart"/>
      <w:r w:rsidRPr="00CA1BDB">
        <w:rPr>
          <w:rFonts w:ascii="Arial" w:eastAsia="Times New Roman" w:hAnsi="Arial" w:cs="Arial"/>
          <w:color w:val="333333"/>
          <w:sz w:val="18"/>
          <w:szCs w:val="18"/>
        </w:rPr>
        <w:t>Kluwer</w:t>
      </w:r>
      <w:proofErr w:type="spellEnd"/>
      <w:r w:rsidRPr="00CA1BDB">
        <w:rPr>
          <w:rFonts w:ascii="Arial" w:eastAsia="Times New Roman" w:hAnsi="Arial" w:cs="Arial"/>
          <w:color w:val="333333"/>
          <w:sz w:val="18"/>
          <w:szCs w:val="18"/>
        </w:rPr>
        <w:t xml:space="preserve">. https://www.uptodate.com/contents/headache-in-children-beyond-the-basics/printBurns, C. E., Dunn, A. M., Brady, M. A., </w:t>
      </w:r>
      <w:proofErr w:type="spellStart"/>
      <w:r w:rsidRPr="00CA1BDB">
        <w:rPr>
          <w:rFonts w:ascii="Arial" w:eastAsia="Times New Roman" w:hAnsi="Arial" w:cs="Arial"/>
          <w:color w:val="333333"/>
          <w:sz w:val="18"/>
          <w:szCs w:val="18"/>
        </w:rPr>
        <w:t>Blosser</w:t>
      </w:r>
      <w:proofErr w:type="spellEnd"/>
      <w:r w:rsidRPr="00CA1BDB">
        <w:rPr>
          <w:rFonts w:ascii="Arial" w:eastAsia="Times New Roman" w:hAnsi="Arial" w:cs="Arial"/>
          <w:color w:val="333333"/>
          <w:sz w:val="18"/>
          <w:szCs w:val="18"/>
        </w:rPr>
        <w:t xml:space="preserve">, C. G., Starr, N. B., &amp; </w:t>
      </w:r>
      <w:proofErr w:type="spellStart"/>
      <w:r w:rsidRPr="00CA1BDB">
        <w:rPr>
          <w:rFonts w:ascii="Arial" w:eastAsia="Times New Roman" w:hAnsi="Arial" w:cs="Arial"/>
          <w:color w:val="333333"/>
          <w:sz w:val="18"/>
          <w:szCs w:val="18"/>
        </w:rPr>
        <w:t>Garzon</w:t>
      </w:r>
      <w:proofErr w:type="spellEnd"/>
      <w:r w:rsidRPr="00CA1BDB">
        <w:rPr>
          <w:rFonts w:ascii="Arial" w:eastAsia="Times New Roman" w:hAnsi="Arial" w:cs="Arial"/>
          <w:color w:val="333333"/>
          <w:sz w:val="18"/>
          <w:szCs w:val="18"/>
        </w:rPr>
        <w:t>, D. L. (2017). </w:t>
      </w:r>
      <w:proofErr w:type="gramStart"/>
      <w:r w:rsidRPr="00CA1BDB">
        <w:rPr>
          <w:rFonts w:ascii="Arial" w:eastAsia="Times New Roman" w:hAnsi="Arial" w:cs="Arial"/>
          <w:i/>
          <w:iCs/>
          <w:color w:val="333333"/>
          <w:sz w:val="18"/>
        </w:rPr>
        <w:t>Pediatric Primary Care</w:t>
      </w:r>
      <w:r w:rsidRPr="00CA1BDB">
        <w:rPr>
          <w:rFonts w:ascii="Arial" w:eastAsia="Times New Roman" w:hAnsi="Arial" w:cs="Arial"/>
          <w:color w:val="333333"/>
          <w:sz w:val="18"/>
          <w:szCs w:val="18"/>
        </w:rPr>
        <w:t>.</w:t>
      </w:r>
      <w:proofErr w:type="gramEnd"/>
      <w:r w:rsidRPr="00CA1BDB">
        <w:rPr>
          <w:rFonts w:ascii="Arial" w:eastAsia="Times New Roman" w:hAnsi="Arial" w:cs="Arial"/>
          <w:color w:val="333333"/>
          <w:sz w:val="18"/>
          <w:szCs w:val="18"/>
        </w:rPr>
        <w:t xml:space="preserve"> </w:t>
      </w:r>
      <w:proofErr w:type="spellStart"/>
      <w:r w:rsidRPr="00CA1BDB">
        <w:rPr>
          <w:rFonts w:ascii="Arial" w:eastAsia="Times New Roman" w:hAnsi="Arial" w:cs="Arial"/>
          <w:color w:val="333333"/>
          <w:sz w:val="18"/>
          <w:szCs w:val="18"/>
        </w:rPr>
        <w:t>ElsevierEsposito</w:t>
      </w:r>
      <w:proofErr w:type="spellEnd"/>
      <w:r w:rsidRPr="00CA1BDB">
        <w:rPr>
          <w:rFonts w:ascii="Arial" w:eastAsia="Times New Roman" w:hAnsi="Arial" w:cs="Arial"/>
          <w:color w:val="333333"/>
          <w:sz w:val="18"/>
          <w:szCs w:val="18"/>
        </w:rPr>
        <w:t xml:space="preserve">, S., Jones, M. H., </w:t>
      </w:r>
      <w:proofErr w:type="spellStart"/>
      <w:r w:rsidRPr="00CA1BDB">
        <w:rPr>
          <w:rFonts w:ascii="Arial" w:eastAsia="Times New Roman" w:hAnsi="Arial" w:cs="Arial"/>
          <w:color w:val="333333"/>
          <w:sz w:val="18"/>
          <w:szCs w:val="18"/>
        </w:rPr>
        <w:t>Feleszko</w:t>
      </w:r>
      <w:proofErr w:type="spellEnd"/>
      <w:r w:rsidRPr="00CA1BDB">
        <w:rPr>
          <w:rFonts w:ascii="Arial" w:eastAsia="Times New Roman" w:hAnsi="Arial" w:cs="Arial"/>
          <w:color w:val="333333"/>
          <w:sz w:val="18"/>
          <w:szCs w:val="18"/>
        </w:rPr>
        <w:t xml:space="preserve">, W., Martell, J. A. O., </w:t>
      </w:r>
      <w:proofErr w:type="spellStart"/>
      <w:r w:rsidRPr="00CA1BDB">
        <w:rPr>
          <w:rFonts w:ascii="Arial" w:eastAsia="Times New Roman" w:hAnsi="Arial" w:cs="Arial"/>
          <w:color w:val="333333"/>
          <w:sz w:val="18"/>
          <w:szCs w:val="18"/>
        </w:rPr>
        <w:t>Falup-Pecurariu</w:t>
      </w:r>
      <w:proofErr w:type="spellEnd"/>
      <w:r w:rsidRPr="00CA1BDB">
        <w:rPr>
          <w:rFonts w:ascii="Arial" w:eastAsia="Times New Roman" w:hAnsi="Arial" w:cs="Arial"/>
          <w:color w:val="333333"/>
          <w:sz w:val="18"/>
          <w:szCs w:val="18"/>
        </w:rPr>
        <w:t xml:space="preserve">, O., </w:t>
      </w:r>
      <w:proofErr w:type="spellStart"/>
      <w:r w:rsidRPr="00CA1BDB">
        <w:rPr>
          <w:rFonts w:ascii="Arial" w:eastAsia="Times New Roman" w:hAnsi="Arial" w:cs="Arial"/>
          <w:color w:val="333333"/>
          <w:sz w:val="18"/>
          <w:szCs w:val="18"/>
        </w:rPr>
        <w:t>Geppe</w:t>
      </w:r>
      <w:proofErr w:type="spellEnd"/>
      <w:r w:rsidRPr="00CA1BDB">
        <w:rPr>
          <w:rFonts w:ascii="Arial" w:eastAsia="Times New Roman" w:hAnsi="Arial" w:cs="Arial"/>
          <w:color w:val="333333"/>
          <w:sz w:val="18"/>
          <w:szCs w:val="18"/>
        </w:rPr>
        <w:t xml:space="preserve">, N., </w:t>
      </w:r>
      <w:proofErr w:type="spellStart"/>
      <w:r w:rsidRPr="00CA1BDB">
        <w:rPr>
          <w:rFonts w:ascii="Arial" w:eastAsia="Times New Roman" w:hAnsi="Arial" w:cs="Arial"/>
          <w:color w:val="333333"/>
          <w:sz w:val="18"/>
          <w:szCs w:val="18"/>
        </w:rPr>
        <w:t>Martinón</w:t>
      </w:r>
      <w:proofErr w:type="spellEnd"/>
      <w:r w:rsidRPr="00CA1BDB">
        <w:rPr>
          <w:rFonts w:ascii="Arial" w:eastAsia="Times New Roman" w:hAnsi="Arial" w:cs="Arial"/>
          <w:color w:val="333333"/>
          <w:sz w:val="18"/>
          <w:szCs w:val="18"/>
        </w:rPr>
        <w:t xml:space="preserve">-Torres, F., </w:t>
      </w:r>
      <w:proofErr w:type="spellStart"/>
      <w:r w:rsidRPr="00CA1BDB">
        <w:rPr>
          <w:rFonts w:ascii="Arial" w:eastAsia="Times New Roman" w:hAnsi="Arial" w:cs="Arial"/>
          <w:color w:val="333333"/>
          <w:sz w:val="18"/>
          <w:szCs w:val="18"/>
        </w:rPr>
        <w:t>Shen</w:t>
      </w:r>
      <w:proofErr w:type="spellEnd"/>
      <w:r w:rsidRPr="00CA1BDB">
        <w:rPr>
          <w:rFonts w:ascii="Arial" w:eastAsia="Times New Roman" w:hAnsi="Arial" w:cs="Arial"/>
          <w:color w:val="333333"/>
          <w:sz w:val="18"/>
          <w:szCs w:val="18"/>
        </w:rPr>
        <w:t xml:space="preserve">, K. L., Roth, M., &amp; </w:t>
      </w:r>
      <w:proofErr w:type="spellStart"/>
      <w:r w:rsidRPr="00CA1BDB">
        <w:rPr>
          <w:rFonts w:ascii="Arial" w:eastAsia="Times New Roman" w:hAnsi="Arial" w:cs="Arial"/>
          <w:color w:val="333333"/>
          <w:sz w:val="18"/>
          <w:szCs w:val="18"/>
        </w:rPr>
        <w:t>Principi</w:t>
      </w:r>
      <w:proofErr w:type="spellEnd"/>
      <w:r w:rsidRPr="00CA1BDB">
        <w:rPr>
          <w:rFonts w:ascii="Arial" w:eastAsia="Times New Roman" w:hAnsi="Arial" w:cs="Arial"/>
          <w:color w:val="333333"/>
          <w:sz w:val="18"/>
          <w:szCs w:val="18"/>
        </w:rPr>
        <w:t>, N. (2020). Prevention of New Respiratory Episodes in Children with Recurrent Respiratory Infections: An Expert Consensus Statement from the World Association of Infectious Diseases and Immunological Disorders (</w:t>
      </w:r>
      <w:proofErr w:type="spellStart"/>
      <w:r w:rsidRPr="00CA1BDB">
        <w:rPr>
          <w:rFonts w:ascii="Arial" w:eastAsia="Times New Roman" w:hAnsi="Arial" w:cs="Arial"/>
          <w:color w:val="333333"/>
          <w:sz w:val="18"/>
          <w:szCs w:val="18"/>
        </w:rPr>
        <w:t>WAidid</w:t>
      </w:r>
      <w:proofErr w:type="spellEnd"/>
      <w:r w:rsidRPr="00CA1BDB">
        <w:rPr>
          <w:rFonts w:ascii="Arial" w:eastAsia="Times New Roman" w:hAnsi="Arial" w:cs="Arial"/>
          <w:color w:val="333333"/>
          <w:sz w:val="18"/>
          <w:szCs w:val="18"/>
        </w:rPr>
        <w:t>). </w:t>
      </w:r>
      <w:proofErr w:type="gramStart"/>
      <w:r w:rsidRPr="00CA1BDB">
        <w:rPr>
          <w:rFonts w:ascii="Arial" w:eastAsia="Times New Roman" w:hAnsi="Arial" w:cs="Arial"/>
          <w:i/>
          <w:iCs/>
          <w:color w:val="333333"/>
          <w:sz w:val="18"/>
        </w:rPr>
        <w:t>Microorganisms</w:t>
      </w:r>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8</w:t>
      </w:r>
      <w:r w:rsidRPr="00CA1BDB">
        <w:rPr>
          <w:rFonts w:ascii="Arial" w:eastAsia="Times New Roman" w:hAnsi="Arial" w:cs="Arial"/>
          <w:color w:val="333333"/>
          <w:sz w:val="18"/>
          <w:szCs w:val="18"/>
        </w:rPr>
        <w:t>(11), 1810.</w:t>
      </w:r>
      <w:proofErr w:type="gramEnd"/>
      <w:r w:rsidRPr="00CA1BDB">
        <w:rPr>
          <w:rFonts w:ascii="Arial" w:eastAsia="Times New Roman" w:hAnsi="Arial" w:cs="Arial"/>
          <w:color w:val="333333"/>
          <w:sz w:val="18"/>
          <w:szCs w:val="18"/>
        </w:rPr>
        <w:t xml:space="preserve"> </w:t>
      </w:r>
      <w:proofErr w:type="gramStart"/>
      <w:r w:rsidRPr="00CA1BDB">
        <w:rPr>
          <w:rFonts w:ascii="Arial" w:eastAsia="Times New Roman" w:hAnsi="Arial" w:cs="Arial"/>
          <w:color w:val="333333"/>
          <w:sz w:val="18"/>
          <w:szCs w:val="18"/>
        </w:rPr>
        <w:t xml:space="preserve">https://doi.org/10.3390/microorganisms8111810Panza, C., Volta, A., Broccoli, S., </w:t>
      </w:r>
      <w:proofErr w:type="spellStart"/>
      <w:r w:rsidRPr="00CA1BDB">
        <w:rPr>
          <w:rFonts w:ascii="Arial" w:eastAsia="Times New Roman" w:hAnsi="Arial" w:cs="Arial"/>
          <w:color w:val="333333"/>
          <w:sz w:val="18"/>
          <w:szCs w:val="18"/>
        </w:rPr>
        <w:t>Bonvicini</w:t>
      </w:r>
      <w:proofErr w:type="spellEnd"/>
      <w:r w:rsidRPr="00CA1BDB">
        <w:rPr>
          <w:rFonts w:ascii="Arial" w:eastAsia="Times New Roman" w:hAnsi="Arial" w:cs="Arial"/>
          <w:color w:val="333333"/>
          <w:sz w:val="18"/>
          <w:szCs w:val="18"/>
        </w:rPr>
        <w:t xml:space="preserve">, L., Kendall, S., </w:t>
      </w:r>
      <w:proofErr w:type="spellStart"/>
      <w:r w:rsidRPr="00CA1BDB">
        <w:rPr>
          <w:rFonts w:ascii="Arial" w:eastAsia="Times New Roman" w:hAnsi="Arial" w:cs="Arial"/>
          <w:color w:val="333333"/>
          <w:sz w:val="18"/>
          <w:szCs w:val="18"/>
        </w:rPr>
        <w:t>Marchesi</w:t>
      </w:r>
      <w:proofErr w:type="spellEnd"/>
      <w:r w:rsidRPr="00CA1BDB">
        <w:rPr>
          <w:rFonts w:ascii="Arial" w:eastAsia="Times New Roman" w:hAnsi="Arial" w:cs="Arial"/>
          <w:color w:val="333333"/>
          <w:sz w:val="18"/>
          <w:szCs w:val="18"/>
        </w:rPr>
        <w:t xml:space="preserve">, M., &amp; </w:t>
      </w:r>
      <w:proofErr w:type="spellStart"/>
      <w:r w:rsidRPr="00CA1BDB">
        <w:rPr>
          <w:rFonts w:ascii="Arial" w:eastAsia="Times New Roman" w:hAnsi="Arial" w:cs="Arial"/>
          <w:color w:val="333333"/>
          <w:sz w:val="18"/>
          <w:szCs w:val="18"/>
        </w:rPr>
        <w:t>Giorgi</w:t>
      </w:r>
      <w:proofErr w:type="spellEnd"/>
      <w:r w:rsidRPr="00CA1BDB">
        <w:rPr>
          <w:rFonts w:ascii="Arial" w:eastAsia="Times New Roman" w:hAnsi="Arial" w:cs="Arial"/>
          <w:color w:val="333333"/>
          <w:sz w:val="18"/>
          <w:szCs w:val="18"/>
        </w:rPr>
        <w:t xml:space="preserve"> Rossi, P. (2020).</w:t>
      </w:r>
      <w:proofErr w:type="gramEnd"/>
      <w:r w:rsidRPr="00CA1BDB">
        <w:rPr>
          <w:rFonts w:ascii="Arial" w:eastAsia="Times New Roman" w:hAnsi="Arial" w:cs="Arial"/>
          <w:color w:val="333333"/>
          <w:sz w:val="18"/>
          <w:szCs w:val="18"/>
        </w:rPr>
        <w:t xml:space="preserve"> Evaluation of an intervention aimed at supporting new parents: the Baby Newsletter project. </w:t>
      </w:r>
      <w:proofErr w:type="gramStart"/>
      <w:r w:rsidRPr="00CA1BDB">
        <w:rPr>
          <w:rFonts w:ascii="Arial" w:eastAsia="Times New Roman" w:hAnsi="Arial" w:cs="Arial"/>
          <w:i/>
          <w:iCs/>
          <w:color w:val="333333"/>
          <w:sz w:val="18"/>
        </w:rPr>
        <w:t>Italian Journal of Pediatrics</w:t>
      </w:r>
      <w:r w:rsidRPr="00CA1BDB">
        <w:rPr>
          <w:rFonts w:ascii="Arial" w:eastAsia="Times New Roman" w:hAnsi="Arial" w:cs="Arial"/>
          <w:color w:val="333333"/>
          <w:sz w:val="18"/>
          <w:szCs w:val="18"/>
        </w:rPr>
        <w:t>, </w:t>
      </w:r>
      <w:r w:rsidRPr="00CA1BDB">
        <w:rPr>
          <w:rFonts w:ascii="Arial" w:eastAsia="Times New Roman" w:hAnsi="Arial" w:cs="Arial"/>
          <w:i/>
          <w:iCs/>
          <w:color w:val="333333"/>
          <w:sz w:val="18"/>
        </w:rPr>
        <w:t>46</w:t>
      </w:r>
      <w:r w:rsidRPr="00CA1BDB">
        <w:rPr>
          <w:rFonts w:ascii="Arial" w:eastAsia="Times New Roman" w:hAnsi="Arial" w:cs="Arial"/>
          <w:color w:val="333333"/>
          <w:sz w:val="18"/>
          <w:szCs w:val="18"/>
        </w:rPr>
        <w:t>(1).</w:t>
      </w:r>
      <w:proofErr w:type="gramEnd"/>
      <w:r w:rsidRPr="00CA1BDB">
        <w:rPr>
          <w:rFonts w:ascii="Arial" w:eastAsia="Times New Roman" w:hAnsi="Arial" w:cs="Arial"/>
          <w:color w:val="333333"/>
          <w:sz w:val="18"/>
          <w:szCs w:val="18"/>
        </w:rPr>
        <w:t> </w:t>
      </w:r>
      <w:hyperlink r:id="rId8" w:history="1">
        <w:r w:rsidRPr="00CA1BDB">
          <w:rPr>
            <w:rFonts w:ascii="Arial" w:eastAsia="Times New Roman" w:hAnsi="Arial" w:cs="Arial"/>
            <w:color w:val="337AB7"/>
            <w:sz w:val="18"/>
          </w:rPr>
          <w:t>https://doi.org/10.1186/s13052-020-00886-5</w:t>
        </w:r>
      </w:hyperlink>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16721"/>
    <w:multiLevelType w:val="multilevel"/>
    <w:tmpl w:val="6FE65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CA1BDB"/>
    <w:rsid w:val="001C380C"/>
    <w:rsid w:val="00385340"/>
    <w:rsid w:val="00CA1B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1BD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A1BDB"/>
    <w:rPr>
      <w:b/>
      <w:bCs/>
    </w:rPr>
  </w:style>
  <w:style w:type="character" w:styleId="Emphasis">
    <w:name w:val="Emphasis"/>
    <w:basedOn w:val="DefaultParagraphFont"/>
    <w:uiPriority w:val="20"/>
    <w:qFormat/>
    <w:rsid w:val="00CA1BDB"/>
    <w:rPr>
      <w:i/>
      <w:iCs/>
    </w:rPr>
  </w:style>
  <w:style w:type="character" w:styleId="Hyperlink">
    <w:name w:val="Hyperlink"/>
    <w:basedOn w:val="DefaultParagraphFont"/>
    <w:uiPriority w:val="99"/>
    <w:semiHidden/>
    <w:unhideWhenUsed/>
    <w:rsid w:val="00CA1BDB"/>
    <w:rPr>
      <w:color w:val="0000FF"/>
      <w:u w:val="single"/>
    </w:rPr>
  </w:style>
  <w:style w:type="character" w:customStyle="1" w:styleId="screenreader-only">
    <w:name w:val="screenreader-only"/>
    <w:basedOn w:val="DefaultParagraphFont"/>
    <w:rsid w:val="00CA1BDB"/>
  </w:style>
</w:styles>
</file>

<file path=word/webSettings.xml><?xml version="1.0" encoding="utf-8"?>
<w:webSettings xmlns:r="http://schemas.openxmlformats.org/officeDocument/2006/relationships" xmlns:w="http://schemas.openxmlformats.org/wordprocessingml/2006/main">
  <w:divs>
    <w:div w:id="131749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3052-020-00886-5" TargetMode="External"/><Relationship Id="rId3" Type="http://schemas.openxmlformats.org/officeDocument/2006/relationships/settings" Target="settings.xml"/><Relationship Id="rId7" Type="http://schemas.openxmlformats.org/officeDocument/2006/relationships/hyperlink" Target="https://stu.instructure.com/courses/32637/discussion_topics/288592?module_item_id=11053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instructure.com/courses/32637/discussion_topics/288592?module_item_id=1105369" TargetMode="External"/><Relationship Id="rId5" Type="http://schemas.openxmlformats.org/officeDocument/2006/relationships/hyperlink" Target="https://doi.org/10.1097%2Fj.pain.000000000000151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2694</Words>
  <Characters>13983</Characters>
  <Application>Microsoft Office Word</Application>
  <DocSecurity>0</DocSecurity>
  <Lines>303</Lines>
  <Paragraphs>91</Paragraphs>
  <ScaleCrop>false</ScaleCrop>
  <Company/>
  <LinksUpToDate>false</LinksUpToDate>
  <CharactersWithSpaces>16586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2023-01-19T15:37:00Z</dcterms:created>
  <dcterms:modified xsi:type="dcterms:W3CDTF">2023-01-19T15:37:00Z</dcterms:modified>
</cp:coreProperties>
</file>