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746E4"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46371C1C"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2B11D29F"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0B3EB965"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409FD898"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287A9909"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7AD7E4CD"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6893A417"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54F9BC4F"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77C41232"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31D0AEAD"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376BAF12"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505A5FAA"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589EDB92" w14:textId="77777777" w:rsidR="0037279A" w:rsidRDefault="0037279A" w:rsidP="00120695">
      <w:pPr>
        <w:pStyle w:val="NormalWeb"/>
        <w:spacing w:before="0" w:beforeAutospacing="0" w:after="0" w:afterAutospacing="0" w:line="480" w:lineRule="auto"/>
        <w:ind w:firstLine="720"/>
        <w:jc w:val="center"/>
        <w:rPr>
          <w:rStyle w:val="Strong"/>
          <w:color w:val="0E101A"/>
        </w:rPr>
      </w:pPr>
    </w:p>
    <w:p w14:paraId="05B19E02" w14:textId="3614D792" w:rsidR="00120695" w:rsidRPr="00120695" w:rsidRDefault="00120695" w:rsidP="00120695">
      <w:pPr>
        <w:pStyle w:val="NormalWeb"/>
        <w:spacing w:before="0" w:beforeAutospacing="0" w:after="0" w:afterAutospacing="0" w:line="480" w:lineRule="auto"/>
        <w:ind w:firstLine="720"/>
        <w:jc w:val="center"/>
        <w:rPr>
          <w:color w:val="0E101A"/>
        </w:rPr>
      </w:pPr>
      <w:r w:rsidRPr="00120695">
        <w:rPr>
          <w:rStyle w:val="Strong"/>
          <w:color w:val="0E101A"/>
        </w:rPr>
        <w:t>Vulnerability Analysis Critical Infrastructure Assignment</w:t>
      </w:r>
    </w:p>
    <w:p w14:paraId="1F45D3FC" w14:textId="77777777" w:rsidR="003132E8" w:rsidRDefault="003132E8" w:rsidP="00120695">
      <w:pPr>
        <w:pStyle w:val="NormalWeb"/>
        <w:spacing w:before="0" w:beforeAutospacing="0" w:after="0" w:afterAutospacing="0" w:line="480" w:lineRule="auto"/>
        <w:ind w:firstLine="720"/>
        <w:jc w:val="center"/>
        <w:rPr>
          <w:color w:val="0E101A"/>
        </w:rPr>
      </w:pPr>
    </w:p>
    <w:p w14:paraId="0A07575F" w14:textId="21A6E4B4" w:rsidR="00120695" w:rsidRPr="00120695" w:rsidRDefault="00550A11" w:rsidP="00120695">
      <w:pPr>
        <w:pStyle w:val="NormalWeb"/>
        <w:spacing w:before="0" w:beforeAutospacing="0" w:after="0" w:afterAutospacing="0" w:line="480" w:lineRule="auto"/>
        <w:ind w:firstLine="720"/>
        <w:jc w:val="center"/>
        <w:rPr>
          <w:color w:val="0E101A"/>
        </w:rPr>
      </w:pPr>
      <w:r>
        <w:rPr>
          <w:color w:val="0E101A"/>
        </w:rPr>
        <w:t>Kelcey Grissom</w:t>
      </w:r>
    </w:p>
    <w:p w14:paraId="56AF842B" w14:textId="2FCCDF76" w:rsidR="00120695" w:rsidRPr="00120695" w:rsidRDefault="00550A11" w:rsidP="00120695">
      <w:pPr>
        <w:pStyle w:val="NormalWeb"/>
        <w:spacing w:before="0" w:beforeAutospacing="0" w:after="0" w:afterAutospacing="0" w:line="480" w:lineRule="auto"/>
        <w:ind w:firstLine="720"/>
        <w:jc w:val="center"/>
        <w:rPr>
          <w:color w:val="0E101A"/>
        </w:rPr>
      </w:pPr>
      <w:r>
        <w:rPr>
          <w:color w:val="0E101A"/>
        </w:rPr>
        <w:t xml:space="preserve">Liberty University </w:t>
      </w:r>
    </w:p>
    <w:p w14:paraId="266E495A" w14:textId="03ACFC04" w:rsidR="00120695" w:rsidRPr="00120695" w:rsidRDefault="00120695" w:rsidP="00120695">
      <w:pPr>
        <w:pStyle w:val="NormalWeb"/>
        <w:spacing w:before="0" w:beforeAutospacing="0" w:after="0" w:afterAutospacing="0" w:line="480" w:lineRule="auto"/>
        <w:ind w:firstLine="720"/>
        <w:jc w:val="center"/>
        <w:rPr>
          <w:color w:val="0E101A"/>
        </w:rPr>
      </w:pPr>
    </w:p>
    <w:p w14:paraId="6A971816" w14:textId="18EB38BF" w:rsidR="00120695" w:rsidRPr="00120695" w:rsidRDefault="00120695" w:rsidP="00550A11">
      <w:pPr>
        <w:pStyle w:val="NormalWeb"/>
        <w:spacing w:before="0" w:beforeAutospacing="0" w:after="0" w:afterAutospacing="0" w:line="480" w:lineRule="auto"/>
        <w:ind w:firstLine="720"/>
        <w:jc w:val="center"/>
        <w:rPr>
          <w:color w:val="0E101A"/>
        </w:rPr>
      </w:pPr>
    </w:p>
    <w:p w14:paraId="6462C7A1" w14:textId="77777777" w:rsidR="00120695" w:rsidRDefault="00120695" w:rsidP="00120695">
      <w:pPr>
        <w:pStyle w:val="NormalWeb"/>
        <w:spacing w:before="0" w:beforeAutospacing="0" w:after="0" w:afterAutospacing="0" w:line="480" w:lineRule="auto"/>
        <w:ind w:firstLine="720"/>
        <w:jc w:val="center"/>
        <w:rPr>
          <w:b/>
          <w:bCs/>
          <w:color w:val="0E101A"/>
        </w:rPr>
      </w:pPr>
    </w:p>
    <w:p w14:paraId="0CBDFA8B" w14:textId="77777777" w:rsidR="00120695" w:rsidRDefault="00120695" w:rsidP="00120695">
      <w:pPr>
        <w:pStyle w:val="NormalWeb"/>
        <w:spacing w:before="0" w:beforeAutospacing="0" w:after="0" w:afterAutospacing="0" w:line="480" w:lineRule="auto"/>
        <w:ind w:firstLine="720"/>
        <w:jc w:val="center"/>
        <w:rPr>
          <w:b/>
          <w:bCs/>
          <w:color w:val="0E101A"/>
        </w:rPr>
      </w:pPr>
    </w:p>
    <w:p w14:paraId="212D15CA" w14:textId="77777777" w:rsidR="0037279A" w:rsidRPr="00AC63DF" w:rsidRDefault="0037279A" w:rsidP="0037279A">
      <w:pPr>
        <w:spacing w:after="120" w:line="360" w:lineRule="auto"/>
        <w:rPr>
          <w:rFonts w:ascii="Times New Roman Bold" w:hAnsi="Times New Roman Bold" w:cs="Times New Roman"/>
          <w:b/>
          <w:bCs/>
          <w:smallCaps/>
          <w:sz w:val="24"/>
          <w:szCs w:val="24"/>
        </w:rPr>
      </w:pPr>
      <w:bookmarkStart w:id="0" w:name="_Hlk484977380"/>
      <w:bookmarkStart w:id="1" w:name="_Hlk483236723"/>
      <w:r>
        <w:rPr>
          <w:rFonts w:ascii="Times New Roman Bold" w:hAnsi="Times New Roman Bold" w:cs="Times New Roman"/>
          <w:b/>
          <w:bCs/>
          <w:smallCaps/>
          <w:sz w:val="24"/>
          <w:szCs w:val="24"/>
        </w:rPr>
        <w:t>Abstract</w:t>
      </w:r>
    </w:p>
    <w:sdt>
      <w:sdtPr>
        <w:rPr>
          <w:rFonts w:asciiTheme="minorHAnsi" w:eastAsiaTheme="minorHAnsi" w:hAnsiTheme="minorHAnsi" w:cstheme="minorBidi"/>
          <w:b/>
          <w:bCs/>
          <w:color w:val="auto"/>
          <w:sz w:val="22"/>
          <w:szCs w:val="22"/>
        </w:rPr>
        <w:id w:val="429167336"/>
        <w:docPartObj>
          <w:docPartGallery w:val="Table of Contents"/>
          <w:docPartUnique/>
        </w:docPartObj>
      </w:sdtPr>
      <w:sdtEndPr>
        <w:rPr>
          <w:noProof/>
        </w:rPr>
      </w:sdtEndPr>
      <w:sdtContent>
        <w:p w14:paraId="59A9A4F2" w14:textId="77777777" w:rsidR="0037279A" w:rsidRPr="00186EE7" w:rsidRDefault="0037279A" w:rsidP="0037279A">
          <w:pPr>
            <w:pStyle w:val="TOCHeading"/>
            <w:jc w:val="center"/>
            <w:rPr>
              <w:b/>
              <w:bCs/>
            </w:rPr>
          </w:pPr>
          <w:r w:rsidRPr="00186EE7">
            <w:rPr>
              <w:b/>
              <w:bCs/>
            </w:rPr>
            <w:t>Table of Contents</w:t>
          </w:r>
        </w:p>
        <w:p w14:paraId="5C29CB74"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 xml:space="preserve">Discuss what risk assessment, vulnerability analysis, and critical infrastructure </w:t>
          </w:r>
        </w:p>
        <w:p w14:paraId="4A6EFE6D" w14:textId="77777777" w:rsidR="0037279A" w:rsidRPr="00186EE7" w:rsidRDefault="0037279A" w:rsidP="0037279A">
          <w:pPr>
            <w:pStyle w:val="ListParagraph"/>
            <w:numPr>
              <w:ilvl w:val="1"/>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FEMAs community perspective to mitigation etc.;</w:t>
          </w:r>
        </w:p>
        <w:p w14:paraId="1F237AE9" w14:textId="77777777" w:rsidR="0037279A" w:rsidRPr="00186EE7" w:rsidRDefault="0037279A" w:rsidP="0037279A">
          <w:pPr>
            <w:pStyle w:val="ListParagraph"/>
            <w:numPr>
              <w:ilvl w:val="1"/>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Defining and measuring risk; and</w:t>
          </w:r>
        </w:p>
        <w:p w14:paraId="2F2EF1EB" w14:textId="77777777" w:rsidR="0037279A" w:rsidRPr="00186EE7" w:rsidRDefault="0037279A" w:rsidP="0037279A">
          <w:pPr>
            <w:pStyle w:val="ListParagraph"/>
            <w:numPr>
              <w:ilvl w:val="1"/>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Differentiate threats and hazards.</w:t>
          </w:r>
        </w:p>
        <w:p w14:paraId="3703A3D5"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the role of the government and the private sector in conducting risk assessments.</w:t>
          </w:r>
        </w:p>
        <w:p w14:paraId="21B0E597"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best practices used for critical infrastructure identification.</w:t>
          </w:r>
        </w:p>
        <w:p w14:paraId="1A64A913"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 xml:space="preserve">The tools and techniques used to identify critical infrastructure. </w:t>
          </w:r>
        </w:p>
        <w:p w14:paraId="22B701DD"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use of GIS data and mapping.</w:t>
          </w:r>
        </w:p>
        <w:p w14:paraId="61CF4B75"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critical infrastructure identification process.</w:t>
          </w:r>
        </w:p>
        <w:p w14:paraId="688EAEFA" w14:textId="7721A969" w:rsidR="0037279A" w:rsidRPr="00186EE7" w:rsidRDefault="003132E8"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What a</w:t>
          </w:r>
          <w:r w:rsidR="0037279A" w:rsidRPr="00186EE7">
            <w:rPr>
              <w:rFonts w:ascii="Times New Roman" w:hAnsi="Times New Roman" w:cs="Times New Roman"/>
              <w:b/>
              <w:bCs/>
              <w:sz w:val="24"/>
              <w:szCs w:val="24"/>
            </w:rPr>
            <w:t xml:space="preserve"> National Preparedness and Homeland Security directives affect critical infrastructure assessment. PPD 21</w:t>
          </w:r>
        </w:p>
        <w:p w14:paraId="44DBA71A"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principle of protective security and effective security countermeasures.</w:t>
          </w:r>
        </w:p>
        <w:p w14:paraId="39A67B12"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a pure risk assessment model and a security vulnerability analysis.</w:t>
          </w:r>
        </w:p>
        <w:p w14:paraId="42CC2739" w14:textId="77777777" w:rsidR="0037279A" w:rsidRPr="00186EE7" w:rsidRDefault="0037279A" w:rsidP="0037279A">
          <w:pPr>
            <w:pStyle w:val="ListParagraph"/>
            <w:numPr>
              <w:ilvl w:val="0"/>
              <w:numId w:val="1"/>
            </w:numPr>
            <w:spacing w:after="0" w:line="360" w:lineRule="auto"/>
            <w:contextualSpacing w:val="0"/>
            <w:rPr>
              <w:rFonts w:ascii="Times New Roman" w:hAnsi="Times New Roman" w:cs="Times New Roman"/>
              <w:b/>
              <w:bCs/>
              <w:sz w:val="24"/>
              <w:szCs w:val="24"/>
            </w:rPr>
          </w:pPr>
          <w:r w:rsidRPr="00186EE7">
            <w:rPr>
              <w:rFonts w:ascii="Times New Roman" w:hAnsi="Times New Roman" w:cs="Times New Roman"/>
              <w:b/>
              <w:bCs/>
              <w:sz w:val="24"/>
              <w:szCs w:val="24"/>
            </w:rPr>
            <w:t>overview of your overall assessment area.</w:t>
          </w:r>
        </w:p>
        <w:p w14:paraId="2D098CB3" w14:textId="77777777" w:rsidR="0037279A" w:rsidRPr="00186EE7" w:rsidRDefault="0037279A" w:rsidP="0037279A">
          <w:pPr>
            <w:pStyle w:val="ListParagraph"/>
            <w:numPr>
              <w:ilvl w:val="0"/>
              <w:numId w:val="1"/>
            </w:numPr>
            <w:rPr>
              <w:b/>
              <w:bCs/>
            </w:rPr>
          </w:pPr>
          <w:r w:rsidRPr="00186EE7">
            <w:rPr>
              <w:rFonts w:ascii="Times New Roman" w:hAnsi="Times New Roman" w:cs="Times New Roman"/>
              <w:b/>
              <w:bCs/>
              <w:sz w:val="24"/>
              <w:szCs w:val="24"/>
            </w:rPr>
            <w:t>References</w:t>
          </w:r>
        </w:p>
      </w:sdtContent>
    </w:sdt>
    <w:p w14:paraId="62678472" w14:textId="77777777" w:rsidR="0037279A" w:rsidRPr="00AC63DF" w:rsidRDefault="0037279A" w:rsidP="0037279A">
      <w:pPr>
        <w:spacing w:after="120" w:line="360" w:lineRule="auto"/>
        <w:rPr>
          <w:rFonts w:ascii="Times New Roman Bold" w:hAnsi="Times New Roman Bold" w:cs="Times New Roman"/>
          <w:b/>
          <w:bCs/>
          <w:smallCaps/>
          <w:sz w:val="24"/>
          <w:szCs w:val="24"/>
        </w:rPr>
      </w:pPr>
    </w:p>
    <w:p w14:paraId="3850E5F4" w14:textId="77777777" w:rsidR="0037279A" w:rsidRPr="00186EE7" w:rsidRDefault="0037279A" w:rsidP="0037279A">
      <w:pPr>
        <w:spacing w:after="0" w:line="360" w:lineRule="auto"/>
        <w:rPr>
          <w:rFonts w:ascii="Times New Roman" w:hAnsi="Times New Roman" w:cs="Times New Roman"/>
          <w:sz w:val="24"/>
          <w:szCs w:val="24"/>
        </w:rPr>
      </w:pPr>
      <w:bookmarkStart w:id="2" w:name="_Hlk502238975"/>
    </w:p>
    <w:bookmarkEnd w:id="2"/>
    <w:p w14:paraId="129281A2" w14:textId="77777777" w:rsidR="0037279A" w:rsidRDefault="0037279A" w:rsidP="0037279A">
      <w:pPr>
        <w:spacing w:after="120" w:line="360" w:lineRule="auto"/>
        <w:ind w:firstLine="360"/>
        <w:rPr>
          <w:rFonts w:ascii="Times New Roman" w:hAnsi="Times New Roman" w:cs="Times New Roman"/>
          <w:sz w:val="24"/>
          <w:szCs w:val="24"/>
        </w:rPr>
      </w:pPr>
    </w:p>
    <w:bookmarkEnd w:id="0"/>
    <w:bookmarkEnd w:id="1"/>
    <w:p w14:paraId="1983DBFA" w14:textId="77777777" w:rsidR="0037279A" w:rsidRDefault="0037279A" w:rsidP="0037279A">
      <w:pPr>
        <w:pStyle w:val="NormalWeb"/>
        <w:spacing w:before="0" w:beforeAutospacing="0" w:after="120" w:afterAutospacing="0" w:line="360" w:lineRule="auto"/>
      </w:pPr>
    </w:p>
    <w:p w14:paraId="37428CDB" w14:textId="77777777" w:rsidR="00120695" w:rsidRDefault="00120695" w:rsidP="00120695">
      <w:pPr>
        <w:pStyle w:val="NormalWeb"/>
        <w:spacing w:before="0" w:beforeAutospacing="0" w:after="0" w:afterAutospacing="0" w:line="480" w:lineRule="auto"/>
        <w:ind w:firstLine="720"/>
        <w:jc w:val="center"/>
        <w:rPr>
          <w:b/>
          <w:bCs/>
          <w:color w:val="0E101A"/>
        </w:rPr>
      </w:pPr>
    </w:p>
    <w:p w14:paraId="3AEAA324" w14:textId="77777777" w:rsidR="00120695" w:rsidRDefault="00120695" w:rsidP="00120695">
      <w:pPr>
        <w:pStyle w:val="NormalWeb"/>
        <w:spacing w:before="0" w:beforeAutospacing="0" w:after="0" w:afterAutospacing="0" w:line="480" w:lineRule="auto"/>
        <w:ind w:firstLine="720"/>
        <w:jc w:val="center"/>
        <w:rPr>
          <w:b/>
          <w:bCs/>
          <w:color w:val="0E101A"/>
        </w:rPr>
      </w:pPr>
    </w:p>
    <w:p w14:paraId="3EA9D4A6" w14:textId="77777777" w:rsidR="00120695" w:rsidRDefault="00120695" w:rsidP="00120695">
      <w:pPr>
        <w:pStyle w:val="NormalWeb"/>
        <w:spacing w:before="0" w:beforeAutospacing="0" w:after="0" w:afterAutospacing="0" w:line="480" w:lineRule="auto"/>
        <w:ind w:firstLine="720"/>
        <w:jc w:val="center"/>
        <w:rPr>
          <w:b/>
          <w:bCs/>
          <w:color w:val="0E101A"/>
        </w:rPr>
      </w:pPr>
    </w:p>
    <w:p w14:paraId="51137090" w14:textId="77777777" w:rsidR="00120695" w:rsidRDefault="00120695" w:rsidP="00120695">
      <w:pPr>
        <w:pStyle w:val="NormalWeb"/>
        <w:spacing w:before="0" w:beforeAutospacing="0" w:after="0" w:afterAutospacing="0" w:line="480" w:lineRule="auto"/>
        <w:ind w:firstLine="720"/>
        <w:jc w:val="center"/>
        <w:rPr>
          <w:b/>
          <w:bCs/>
          <w:color w:val="0E101A"/>
        </w:rPr>
      </w:pPr>
    </w:p>
    <w:p w14:paraId="25C7453D" w14:textId="77777777" w:rsidR="00120695" w:rsidRDefault="00120695" w:rsidP="00120695">
      <w:pPr>
        <w:pStyle w:val="NormalWeb"/>
        <w:spacing w:before="0" w:beforeAutospacing="0" w:after="0" w:afterAutospacing="0" w:line="480" w:lineRule="auto"/>
        <w:ind w:firstLine="720"/>
        <w:jc w:val="center"/>
        <w:rPr>
          <w:b/>
          <w:bCs/>
          <w:color w:val="0E101A"/>
        </w:rPr>
      </w:pPr>
    </w:p>
    <w:p w14:paraId="736CFAFC" w14:textId="77777777" w:rsidR="00120695" w:rsidRDefault="00120695" w:rsidP="00120695">
      <w:pPr>
        <w:pStyle w:val="NormalWeb"/>
        <w:spacing w:before="0" w:beforeAutospacing="0" w:after="0" w:afterAutospacing="0" w:line="480" w:lineRule="auto"/>
        <w:ind w:firstLine="720"/>
        <w:jc w:val="center"/>
        <w:rPr>
          <w:b/>
          <w:bCs/>
          <w:color w:val="0E101A"/>
        </w:rPr>
      </w:pPr>
    </w:p>
    <w:p w14:paraId="7CDAB83C" w14:textId="77777777" w:rsidR="00120695" w:rsidRDefault="00120695" w:rsidP="00120695">
      <w:pPr>
        <w:pStyle w:val="NormalWeb"/>
        <w:spacing w:before="0" w:beforeAutospacing="0" w:after="0" w:afterAutospacing="0" w:line="480" w:lineRule="auto"/>
        <w:ind w:firstLine="720"/>
        <w:jc w:val="center"/>
        <w:rPr>
          <w:b/>
          <w:bCs/>
          <w:color w:val="0E101A"/>
        </w:rPr>
      </w:pPr>
    </w:p>
    <w:p w14:paraId="418403BF" w14:textId="60A38964" w:rsidR="00120695" w:rsidRPr="00120695" w:rsidRDefault="00120695" w:rsidP="00120695">
      <w:pPr>
        <w:pStyle w:val="NormalWeb"/>
        <w:spacing w:before="0" w:beforeAutospacing="0" w:after="0" w:afterAutospacing="0" w:line="480" w:lineRule="auto"/>
        <w:ind w:firstLine="720"/>
        <w:jc w:val="center"/>
        <w:rPr>
          <w:b/>
          <w:bCs/>
          <w:color w:val="0E101A"/>
        </w:rPr>
      </w:pPr>
      <w:r w:rsidRPr="00120695">
        <w:rPr>
          <w:b/>
          <w:bCs/>
          <w:color w:val="0E101A"/>
        </w:rPr>
        <w:t>Vulnerability Analysis Critical Infrastructure Assignment</w:t>
      </w:r>
    </w:p>
    <w:p w14:paraId="0090849E" w14:textId="77777777" w:rsidR="00120695" w:rsidRPr="00120695" w:rsidRDefault="00120695" w:rsidP="00120695">
      <w:pPr>
        <w:pStyle w:val="NormalWeb"/>
        <w:spacing w:before="0" w:beforeAutospacing="0" w:after="0" w:afterAutospacing="0" w:line="480" w:lineRule="auto"/>
        <w:ind w:firstLine="720"/>
        <w:rPr>
          <w:b/>
          <w:bCs/>
          <w:color w:val="0E101A"/>
        </w:rPr>
      </w:pPr>
      <w:r w:rsidRPr="00120695">
        <w:rPr>
          <w:b/>
          <w:bCs/>
          <w:color w:val="0E101A"/>
        </w:rPr>
        <w:t>Abstract</w:t>
      </w:r>
    </w:p>
    <w:p w14:paraId="433C46CA"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Identifying hazards and risk variables that have the potential to be harmful is the general process or procedure that is referred to as risk assessment. It is also a word for analyzing and assessing the risk connected to that hazard. To apply control measures that can eliminate or decrease chances as much as feasible, a risk assessment's goal is to identify dangers in the workplace. This will subsequently contribute to creating a safer working environment. Risk analyses should be finished with workers' input (Abedi et al.,2019). Vulnerability analysis is a fundamental component for developing approaches to specify the degrees of protection in critical infrastructures. As a result of a terrorist threat, we examined the idea of vulnerability and approaches and processes for its assessment in critical infrastructures throughout this research. In order to be able to limit the threat of terrorism to the greatest extent possible, it is crucial to comprehend the concept of vulnerability and grow techniques and processes for its assessment in CI. A particular emphasis should be placed on developing an analysis model and exploring a procedure of financial backing for multicriteria decision-making. </w:t>
      </w:r>
    </w:p>
    <w:p w14:paraId="7A747F5C"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1</w:t>
      </w:r>
    </w:p>
    <w:p w14:paraId="6246D8C4"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A </w:t>
      </w:r>
      <w:r w:rsidRPr="00120695">
        <w:rPr>
          <w:rStyle w:val="Emphasis"/>
          <w:color w:val="0E101A"/>
        </w:rPr>
        <w:t>risk assessment</w:t>
      </w:r>
      <w:r w:rsidRPr="00120695">
        <w:rPr>
          <w:color w:val="0E101A"/>
        </w:rPr>
        <w:t> is a procedure used to determine which dangers are present or could emerge in the workplace. Which workplace dangers are most likely to injure employees and visitors is determined through a risk assessment. Since an efficient risk assessment can significantly lower the possibility of work-related accidents, it involves many activities. They help organizations find ways to reduce health and safety concerns by increasing awareness of dangers and the risks they cause. Consequently, vulnerability analysis is used by a commander or someone in charge of CI to assess an infrastructure's susceptibility to an aggressor's attack or the likelihood that an attack will succeed (Abedi et al.,2019). The process's ultimate purpose is to pinpoint the physical traits or practices that make a specific infrastructure, region, system, or event especially vulnerable to a wide range of realistic threats.</w:t>
      </w:r>
    </w:p>
    <w:p w14:paraId="52F6CA38"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A </w:t>
      </w:r>
      <w:r w:rsidRPr="00120695">
        <w:rPr>
          <w:rStyle w:val="Emphasis"/>
          <w:color w:val="0E101A"/>
        </w:rPr>
        <w:t>vulnerability analysis</w:t>
      </w:r>
      <w:r w:rsidRPr="00120695">
        <w:rPr>
          <w:color w:val="0E101A"/>
        </w:rPr>
        <w:t> is an evaluation that concentrates on security-related problems that have a moderate or significant influence on the product's or system's security. The process of defining, finding, categorizing, and ranking vulnerabilities in systems, applications, and networks is known as vulnerability assessment. It gives a business the necessary insight into the risks associated with external attacks intended to exploit weaknesses (Abedi et al.,2019). From the standpoint of disaster management, vulnerability refers to evaluating the risks from prospective hazards to the populace and the infrastructure. It can be carried out in politics, society, the economy, or the environment. Risk assessment and vulnerability assessment have many similarities. Vulnerability assessment involves looking internally at the company for inherent flaws and defects. In contrast, vulnerability analysis includes looking externally at the environment to identify threats that may exist and potentially cause issues.</w:t>
      </w:r>
    </w:p>
    <w:p w14:paraId="60B89936"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The term "critical infrastructure" refers to a group of assets, networks, and systems whose ongoing functioning is necessary to protect a country's security, economy, public health, and safety. The extensive system of highways, connecting bridges and tunnels, railroads, utilities, and buildings is considered critical infrastructure. These essential systems are necessary for transportation, trade, clean water, and energy. Although all countries have essential infrastructure because it is necessary for survival, the critical infrastructure might differ depending on a country's needs, resources, and level of development. Numerous aspects of this contribute to its significance. Extensive and functional infrastructure is essential for guaranteeing the smooth operation of the economy since it has a significant role in deciding where economic activity takes place and the types of activities or sectors that can emerge inside a nation (Andrew, 2020).</w:t>
      </w:r>
    </w:p>
    <w:p w14:paraId="24DAA8C6"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A</w:t>
      </w:r>
    </w:p>
    <w:p w14:paraId="73898CF1"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A variety of stakeholders working across organizational boundaries can be found at the portfolio level. The Portfolio Level determines the order of work, the precedence, and what is currently active. The Value Stream Owners and the sponsors are among the roles in the portfolio. The principles, techniques, and responsibilities required to launch and oversee a development value stream collection are found at the Portfolio Level. Here, the value streams, their solution's strategy, and investment funds are specified. Contrarily, asset-level risk examines the risk related to a specific piece of property. Not merely the property and its financial structure are the subject of this research. The adjacent properties and diverse regional economic trends are also factors in asset-level risk. Without also taking into account overall market risk, no analysis is complete. Asset-level data is information about tangible and intangible assets linked to ownership information about the company (Andrew, 2020).</w:t>
      </w:r>
    </w:p>
    <w:p w14:paraId="7EF0F1A8"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B</w:t>
      </w:r>
    </w:p>
    <w:p w14:paraId="7C73C0D3"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FEMA Encourages neighbors to create family preparedness plans that include emergency contact information for family members, scheduled meeting locations, house evacuation protocols, emergency pet care, safe food and water storage, and putting together disaster supply kits. A community-based approach requires child welfare organizations and their partners to not only deliver appropriate and individualized services in the neighborhood where a young person resides but also involve the community in the administrative and policy-making processes in creating a care system. To </w:t>
      </w:r>
      <w:proofErr w:type="spellStart"/>
      <w:r w:rsidRPr="00120695">
        <w:rPr>
          <w:color w:val="0E101A"/>
        </w:rPr>
        <w:t>encourFEMA</w:t>
      </w:r>
      <w:proofErr w:type="spellEnd"/>
      <w:r w:rsidRPr="00120695">
        <w:rPr>
          <w:color w:val="0E101A"/>
        </w:rPr>
        <w:t xml:space="preserve"> offers the Geospatial Resource Center toe information sharing between governmental, non-governmental, and public entities, FEMA often, however, might not be made available to the public following data use agreements and in consideration of privacy and confidentiality in order to prevent the disclosure of sensitive information such as personally identifiable information (PII) or protected health information (PHI) (Andrew, 2020).</w:t>
      </w:r>
    </w:p>
    <w:p w14:paraId="7FB95629"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C</w:t>
      </w:r>
    </w:p>
    <w:p w14:paraId="042B5850"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Although threats and hazards are sometimes confused, there are occasions when it is advantageous to distinguish between the two. Hazards can be natural or artificial, inadvertent or without malice, whereas threats are always purposeful (apart from unknowing insider threats) and motivated by malice. Any source that could cause injury, damage, or unfavorable health impacts to someone or something is a hazard. Risk is the possibility of harm or a negative outcome (for example, to people as health effects, organizations as property or equipment losses, or the environment). Threats differ from this because a threat expresses an intention to hurt or punish someone or something or something that poses an immediate threat of harm or danger. A threat would be saying, "I'm going to murder you," for instance. An example of a threat is someone who can blow up a building (Andrew, 2020).</w:t>
      </w:r>
    </w:p>
    <w:p w14:paraId="0DE79A75"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2</w:t>
      </w:r>
    </w:p>
    <w:p w14:paraId="091D201F"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The government is accountable for performing the risk assessment at work or for designating someone with the necessary training, expertise, and resources. If the Civil Service wants to enhance results, the government is necessary. It allows people to use resources more wisely and improves strategic, corporate, and emergency planning. Furthermore, now more than ever, it is critical to get this right as the Civil Service faces increasing pressures. Good risk management ensures that citizen data is maintained securely and is only accessible to those who need to see it, preserves people's health and safety, and increases the possibility that services will be simple for citizens to use (Bennett,2018). The goal of the risk assessment process is to animosity hazards and, when necessary, eliminate them or reduce the level of risk they pose by implementing management measures. One has made the workplace safer and healthier by doing this.</w:t>
      </w:r>
    </w:p>
    <w:p w14:paraId="3D65FFC8"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As opposed to that, the public sector, which is governed by the government and frequently uses taxpayer money, is fundamentally different from the private sector. Education, healthcare, rescue services, armed forces, and regulatory agencies are specific public sector businesses. It is impossible to exaggerate the importance of the private sector in supporting a nation's growth and economic development. Private businesses are the main generators of employment, funding, capacity development, and innovation - all crucial tools for growth (Bennett,2018).</w:t>
      </w:r>
    </w:p>
    <w:p w14:paraId="0D12702E"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In addition, a significant player in development initiatives is the private sector. It supports improvements in technology, governance, research development, workforce development, and capacity building as a substantial producer of national income and employer. Since the beginning, the private sector has dominated the field of transportation, be it by land, air, or water. However, following the implementation of the New Industrial Policy in 1991, the government allowed the private sector to participate in several industries, including air travel and electricity generation (Bennett,2018). When performing risk analyses, The portion of an economy managed by people and businesses as opposed to the government is known as the private sector. The majority of businesses in the private sector are operated to make money. The public sector is the portion of the economy that the government governs.</w:t>
      </w:r>
    </w:p>
    <w:p w14:paraId="176643FE"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3</w:t>
      </w:r>
    </w:p>
    <w:p w14:paraId="494B325A"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Access Control is one of the most excellent methods for identifying essential infrastructure since it stops unauthorized people and devices from connecting to the network. Another practice is application security, which locks down potential vulnerabilities using security measures on hardware and software. Firewalls are gatekeeping tools that permit or disallow a specific type of traffic to enter or exit the network. The extensive network of roadways linking bridges and tunnels, railways, utilities, and buildings required to maintain everyday life, as usual, is considered critical infrastructure. These essential systems are necessary for energy, clean water, transportation, and business. It is vital to determine which infrastructure is necessary to keep on going services or functions and to be exposed to specific threats or dangers (Bennett,2018).</w:t>
      </w:r>
    </w:p>
    <w:p w14:paraId="64D780AF" w14:textId="675CDDC8"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A nation's security, resilience, and risk can all be improved by giving a </w:t>
      </w:r>
      <w:r w:rsidR="0037279A" w:rsidRPr="00120695">
        <w:rPr>
          <w:color w:val="0E101A"/>
        </w:rPr>
        <w:t>prioritizing</w:t>
      </w:r>
      <w:r w:rsidR="0037279A">
        <w:rPr>
          <w:color w:val="0E101A"/>
        </w:rPr>
        <w:t xml:space="preserve"> </w:t>
      </w:r>
      <w:r w:rsidRPr="00120695">
        <w:rPr>
          <w:color w:val="0E101A"/>
        </w:rPr>
        <w:t>set to infrastructure to prorating available resources. The term "critical infrastructure" refers to physical and cyber systems and assets so essential to the US that their failure or destruction would severely compromise our national security, whether in terms of our physical or economic well-being, public health, or safety. Regular vulnerability assessments (VAs) can help to protect assets by revealing fundamental problems in the IT infrastructure. A thorough VA offers in-depth information on digital assets, general dangers, and security issues, reducing cyberattacks likelihood of cyberattacks (Lewis,2019).</w:t>
      </w:r>
    </w:p>
    <w:p w14:paraId="3A70992F"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4</w:t>
      </w:r>
    </w:p>
    <w:p w14:paraId="0CB1713A" w14:textId="49C9E552"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Among the instruments and methods used to determine essential infrastructure, The LID-GIS offers details </w:t>
      </w:r>
      <w:r w:rsidR="00335C36" w:rsidRPr="00120695">
        <w:rPr>
          <w:color w:val="0E101A"/>
        </w:rPr>
        <w:t>around</w:t>
      </w:r>
      <w:r w:rsidRPr="00120695">
        <w:rPr>
          <w:color w:val="0E101A"/>
        </w:rPr>
        <w:t xml:space="preserve"> the location of </w:t>
      </w:r>
      <w:r w:rsidR="00335C36">
        <w:rPr>
          <w:color w:val="0E101A"/>
        </w:rPr>
        <w:t xml:space="preserve">the </w:t>
      </w:r>
      <w:r w:rsidRPr="00120695">
        <w:rPr>
          <w:color w:val="0E101A"/>
        </w:rPr>
        <w:t>resources that can be used to reduce specific hazards. These include first responders like police and members of the rescue Service. The sys member stem also keeps track of other resources that might be needed in the wake of a negative occurrence, such as hospitals and heavy equipment depots run by local governments. Because these resources can be employed to lessen the effects of any catastrophe, it is crucial to consider their deployment. The following sections demonstrate how the LID-GIS can be used to investigate potential "what if" situations that need to be taken into account when the</w:t>
      </w:r>
      <w:r w:rsidR="00335C36">
        <w:rPr>
          <w:color w:val="0E101A"/>
        </w:rPr>
        <w:t xml:space="preserve"> know</w:t>
      </w:r>
      <w:r w:rsidRPr="00120695">
        <w:rPr>
          <w:color w:val="0E101A"/>
        </w:rPr>
        <w:t xml:space="preserve"> local assets could end up being the </w:t>
      </w:r>
      <w:r w:rsidR="00335C36" w:rsidRPr="00120695">
        <w:rPr>
          <w:color w:val="0E101A"/>
        </w:rPr>
        <w:t>board</w:t>
      </w:r>
      <w:r w:rsidRPr="00120695">
        <w:rPr>
          <w:color w:val="0E101A"/>
        </w:rPr>
        <w:t xml:space="preserve"> of terrorist </w:t>
      </w:r>
      <w:r w:rsidR="00335C36" w:rsidRPr="00120695">
        <w:rPr>
          <w:color w:val="0E101A"/>
        </w:rPr>
        <w:t>bouts</w:t>
      </w:r>
      <w:r w:rsidRPr="00120695">
        <w:rPr>
          <w:color w:val="0E101A"/>
        </w:rPr>
        <w:t xml:space="preserve"> or </w:t>
      </w:r>
      <w:r w:rsidR="00335C36">
        <w:rPr>
          <w:color w:val="0E101A"/>
        </w:rPr>
        <w:t xml:space="preserve">the </w:t>
      </w:r>
      <w:r w:rsidRPr="00120695">
        <w:rPr>
          <w:color w:val="0E101A"/>
        </w:rPr>
        <w:t>natural disasters (Lewis,2019).</w:t>
      </w:r>
    </w:p>
    <w:p w14:paraId="0E5166AF" w14:textId="1E6E626F"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Calculating Co-Located Infrastructures is an additional tool and strategy. There are several ways to customize and calibrate this proximity analysis. Users can search across infrastructures, for instance, to seek extensive gas transportation infrastructure in 1-2 kilometers of any location where more than 500 people might congregate. Users can also look for retail establishments and places of worship with a capacity of 200 or more than 10 kilometers from the closest emergency personnel (Lewis,2019). It is possible to directly map the value systems used to identify high-risk targets from each entry in the Risk Registers or to apply specialized methods decided upon by subject experts. The user can increase additional proximity analysis's sensitivity or scope to include progress</w:t>
      </w:r>
      <w:r w:rsidR="0037279A">
        <w:rPr>
          <w:color w:val="0E101A"/>
        </w:rPr>
        <w:t xml:space="preserve"> </w:t>
      </w:r>
      <w:r w:rsidRPr="00120695">
        <w:rPr>
          <w:color w:val="0E101A"/>
        </w:rPr>
        <w:t>i</w:t>
      </w:r>
      <w:r w:rsidR="0037279A">
        <w:rPr>
          <w:color w:val="0E101A"/>
        </w:rPr>
        <w:t>nfr</w:t>
      </w:r>
      <w:r w:rsidRPr="00120695">
        <w:rPr>
          <w:color w:val="0E101A"/>
        </w:rPr>
        <w:t>astructures while looking for prospective clusters.</w:t>
      </w:r>
    </w:p>
    <w:p w14:paraId="63DD0C48"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The last tool is the Critical Infrastructure Dependency Analysis tool, which extends a prior graph-based risk analysis approach to examine the progression of cascading failures over time dynamically. It is a hybrid (empirical and network) based tool. It uses various growth models to describe effects that evolve slowly, linearly, and quickly, but instead of utilizing static projections, it tracks how each interdependency develops over time. Both internal and external analysts use the same tools. An internal analyst employs the analytical tools within, whereas an external analyst uses them outside the developing organization. The classification requirements, application needs, and analytical output of each product are all considered, along with the level of knowledge needed to operate the product. Regarding needs, criteria are driven by each tool's core data's sophistication, amount, and form (Lewis,2019).</w:t>
      </w:r>
    </w:p>
    <w:p w14:paraId="322D15A7"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5</w:t>
      </w:r>
    </w:p>
    <w:p w14:paraId="06A465F0" w14:textId="5365E7E9"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It is possible to see spatial linkages and linear networks using GIS technology. Topography can be revealed by </w:t>
      </w:r>
      <w:r w:rsidR="0037279A" w:rsidRPr="00120695">
        <w:rPr>
          <w:color w:val="0E101A"/>
        </w:rPr>
        <w:t>passthrough</w:t>
      </w:r>
      <w:r w:rsidR="0037279A">
        <w:rPr>
          <w:color w:val="0E101A"/>
        </w:rPr>
        <w:t xml:space="preserve"> </w:t>
      </w:r>
      <w:r w:rsidRPr="00120695">
        <w:rPr>
          <w:color w:val="0E101A"/>
        </w:rPr>
        <w:t>linkages, such as agricultural fields and waterways. They might also show patterns of land use, like where parks and housing developments are situated. Various geographic data is created, used, managed, and shared in application areas like transportation, environment, natural resources, agriculture, health, emergency services, and telecommunications. Different formats are used to collect and archive data. Geographic science is applied through GIS technology and tools for comprehension and cooperation. It assists people in achieving a similar objective: to derive valuable intelligence from all kinds of data.</w:t>
      </w:r>
    </w:p>
    <w:p w14:paraId="6BE7597D" w14:textId="077EA7C5"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When work</w:t>
      </w:r>
      <w:r w:rsidR="0037279A">
        <w:rPr>
          <w:color w:val="0E101A"/>
        </w:rPr>
        <w:t xml:space="preserve"> </w:t>
      </w:r>
      <w:r w:rsidRPr="00120695">
        <w:rPr>
          <w:color w:val="0E101A"/>
        </w:rPr>
        <w:t xml:space="preserve">Maps serve as the geographic container with data layers and analytics, maps </w:t>
      </w:r>
      <w:proofErr w:type="spellStart"/>
      <w:r w:rsidRPr="00120695">
        <w:rPr>
          <w:color w:val="0E101A"/>
        </w:rPr>
        <w:t>ses</w:t>
      </w:r>
      <w:proofErr w:type="spellEnd"/>
      <w:r w:rsidRPr="00120695">
        <w:rPr>
          <w:color w:val="0E101A"/>
        </w:rPr>
        <w:t xml:space="preserve"> may be easily shared and included in apps. They are available to almost everyone, anywhere. GIS uses spatial location to integrate many different types of data layers. A geographic component can be found in most data. GIS data consists of base maps, features, and imagery connected to spreadsheets and tables. By evaluating suitability and capability, estimating and forecasting, interpreting and understanding, and much more, spatial analysis opens up new perspectives for insight and decision-making. Apps offer specialized user interfaces that help users complete tasks and make GIS accessible. GIS applications function almost everywhere, including on computers, tablets, mobile devices, and web browsers.</w:t>
      </w:r>
    </w:p>
    <w:p w14:paraId="2560FE2F"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On the other side, geographic notions are displayed through mapping. Thematic maps are the type of maps employed in this instance. The relative humidity, density, gradients, and spatial correlations between different locations or motions are displayed and known using this method. Additionally, mapping is employed to find or pinpoint maritime danger. Sailors use a chart or map for navigation when they are at sea. They might avoid danger in the sea using the chart or map, such as avoiding collisions with other ships in a humid environment or running into huge undersea rocks that would harm the ship.</w:t>
      </w:r>
    </w:p>
    <w:p w14:paraId="15040899"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6</w:t>
      </w:r>
    </w:p>
    <w:p w14:paraId="56CA9FE9" w14:textId="7DDF7BD3"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In summary, critical infrastructure refers to the physical and cyber systems and assets that are so essential to the United States that their failure or </w:t>
      </w:r>
      <w:r w:rsidR="006523D0" w:rsidRPr="00120695">
        <w:rPr>
          <w:color w:val="0E101A"/>
        </w:rPr>
        <w:t>obliteration</w:t>
      </w:r>
      <w:r w:rsidRPr="00120695">
        <w:rPr>
          <w:color w:val="0E101A"/>
        </w:rPr>
        <w:t xml:space="preserve"> would have a crippling effect on our economic or physical security, as well as the health and safety of the general people. The infrastructure that is both </w:t>
      </w:r>
      <w:r w:rsidR="006523D0" w:rsidRPr="00120695">
        <w:rPr>
          <w:color w:val="0E101A"/>
        </w:rPr>
        <w:t>NEC necessary</w:t>
      </w:r>
      <w:r w:rsidRPr="00120695">
        <w:rPr>
          <w:color w:val="0E101A"/>
        </w:rPr>
        <w:t xml:space="preserve"> to keep services or functions and exposed to various threats or hazards must be identified. A nation's security, resilience, and risk can all be improved by prioritizing allocating available resources to that subset of infrastructure. A broad and functional infrastructure is essential for guaranteeing the smooth operation of the economy since it has a significant role in deciding where economic activity takes place and the types of activities or sectors that can emerge inside a nation.</w:t>
      </w:r>
    </w:p>
    <w:p w14:paraId="36658EAD"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7</w:t>
      </w:r>
    </w:p>
    <w:p w14:paraId="711F654D" w14:textId="6A4AA7CA"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Positive effects of position in respect can be seen in the nation's security and resilience as well as in its ability to stop, prevent from, mitigate, respond to, and recover from the threats and hazards that </w:t>
      </w:r>
      <w:r w:rsidR="006523D0" w:rsidRPr="00120695">
        <w:rPr>
          <w:color w:val="0E101A"/>
        </w:rPr>
        <w:t>posture</w:t>
      </w:r>
      <w:r w:rsidRPr="00120695">
        <w:rPr>
          <w:color w:val="0E101A"/>
        </w:rPr>
        <w:t xml:space="preserve"> the </w:t>
      </w:r>
      <w:r w:rsidR="006523D0" w:rsidRPr="00120695">
        <w:rPr>
          <w:color w:val="0E101A"/>
        </w:rPr>
        <w:t>utmost</w:t>
      </w:r>
      <w:r w:rsidRPr="00120695">
        <w:rPr>
          <w:color w:val="0E101A"/>
        </w:rPr>
        <w:t xml:space="preserve"> danger. The Homeland Security directives, released on February 28, 2003, aim to improve the United States' capacity to manage domestic catastrophes by putting in place a centralized, all-inclusive national incident management system. The goal of the Department of Homeland Security is extensive and varied, encompassing anything from counterterrorism to maritime and border security for the country, from protecting our leaders at home and </w:t>
      </w:r>
      <w:r w:rsidR="006523D0" w:rsidRPr="00120695">
        <w:rPr>
          <w:color w:val="0E101A"/>
        </w:rPr>
        <w:t>overseas</w:t>
      </w:r>
      <w:r w:rsidRPr="00120695">
        <w:rPr>
          <w:color w:val="0E101A"/>
        </w:rPr>
        <w:t xml:space="preserve"> to organizing the federal government's response to natural catastrophes. According to the Presidential Policy Directive 21 (PPD-21), published on February 12, 2013, the federal government is </w:t>
      </w:r>
      <w:r w:rsidR="006523D0" w:rsidRPr="00120695">
        <w:rPr>
          <w:color w:val="0E101A"/>
        </w:rPr>
        <w:t>accountable</w:t>
      </w:r>
      <w:r w:rsidRPr="00120695">
        <w:rPr>
          <w:color w:val="0E101A"/>
        </w:rPr>
        <w:t xml:space="preserve"> for </w:t>
      </w:r>
      <w:r w:rsidR="006523D0" w:rsidRPr="00120695">
        <w:rPr>
          <w:color w:val="0E101A"/>
        </w:rPr>
        <w:t>ornamental</w:t>
      </w:r>
      <w:r w:rsidRPr="00120695">
        <w:rPr>
          <w:color w:val="0E101A"/>
        </w:rPr>
        <w:t xml:space="preserve"> the security and resilience of its critical infrastructure against both physical and digital threats (</w:t>
      </w:r>
      <w:proofErr w:type="spellStart"/>
      <w:r w:rsidRPr="00120695">
        <w:rPr>
          <w:color w:val="0E101A"/>
        </w:rPr>
        <w:t>Paté</w:t>
      </w:r>
      <w:proofErr w:type="spellEnd"/>
      <w:r w:rsidRPr="00120695">
        <w:rPr>
          <w:color w:val="0E101A"/>
        </w:rPr>
        <w:t>‐Cornell et al.,2018).</w:t>
      </w:r>
    </w:p>
    <w:p w14:paraId="5C7E2EBC"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8</w:t>
      </w:r>
    </w:p>
    <w:p w14:paraId="6FD3D48F" w14:textId="3374FD7D"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Information about the protection security techniques that can </w:t>
      </w:r>
      <w:r w:rsidR="006523D0" w:rsidRPr="00120695">
        <w:rPr>
          <w:color w:val="0E101A"/>
        </w:rPr>
        <w:t>attain</w:t>
      </w:r>
      <w:r w:rsidRPr="00120695">
        <w:rPr>
          <w:color w:val="0E101A"/>
        </w:rPr>
        <w:t xml:space="preserve"> the </w:t>
      </w:r>
      <w:r w:rsidR="006523D0" w:rsidRPr="00120695">
        <w:rPr>
          <w:color w:val="0E101A"/>
        </w:rPr>
        <w:t>defensive</w:t>
      </w:r>
      <w:r w:rsidRPr="00120695">
        <w:rPr>
          <w:color w:val="0E101A"/>
        </w:rPr>
        <w:t xml:space="preserve"> security </w:t>
      </w:r>
      <w:r w:rsidR="006523D0" w:rsidRPr="00120695">
        <w:rPr>
          <w:color w:val="0E101A"/>
        </w:rPr>
        <w:t>values</w:t>
      </w:r>
      <w:r w:rsidRPr="00120695">
        <w:rPr>
          <w:color w:val="0E101A"/>
        </w:rPr>
        <w:t xml:space="preserve"> of </w:t>
      </w:r>
      <w:r w:rsidR="006523D0" w:rsidRPr="00120695">
        <w:rPr>
          <w:color w:val="0E101A"/>
        </w:rPr>
        <w:t>Discourage</w:t>
      </w:r>
      <w:r w:rsidRPr="00120695">
        <w:rPr>
          <w:color w:val="0E101A"/>
        </w:rPr>
        <w:t xml:space="preserve">, </w:t>
      </w:r>
      <w:r w:rsidR="006523D0" w:rsidRPr="00120695">
        <w:rPr>
          <w:color w:val="0E101A"/>
        </w:rPr>
        <w:t>Perceive</w:t>
      </w:r>
      <w:r w:rsidRPr="00120695">
        <w:rPr>
          <w:color w:val="0E101A"/>
        </w:rPr>
        <w:t xml:space="preserve">, </w:t>
      </w:r>
      <w:r w:rsidR="006523D0" w:rsidRPr="00120695">
        <w:rPr>
          <w:color w:val="0E101A"/>
        </w:rPr>
        <w:t>Postponement</w:t>
      </w:r>
      <w:r w:rsidRPr="00120695">
        <w:rPr>
          <w:color w:val="0E101A"/>
        </w:rPr>
        <w:t xml:space="preserve">, </w:t>
      </w:r>
      <w:r w:rsidR="006523D0" w:rsidRPr="00120695">
        <w:rPr>
          <w:color w:val="0E101A"/>
        </w:rPr>
        <w:t>Ease</w:t>
      </w:r>
      <w:r w:rsidRPr="00120695">
        <w:rPr>
          <w:color w:val="0E101A"/>
        </w:rPr>
        <w:t xml:space="preserve"> and </w:t>
      </w:r>
      <w:r w:rsidR="006523D0" w:rsidRPr="00120695">
        <w:rPr>
          <w:color w:val="0E101A"/>
        </w:rPr>
        <w:t>Respond</w:t>
      </w:r>
      <w:r w:rsidRPr="00120695">
        <w:rPr>
          <w:color w:val="0E101A"/>
        </w:rPr>
        <w:t>... Details on the protective security procedures that can achieve the protective security principles of Deter Detect, Delay, Mitigate, and Response. A countermeasure is any action, tool, process, or technique used in computer security to lessen a danger, a vulnerability, or an attack by eradicating or eliminating it, limiting the damage it can do, or identifying and reporting it so that remedial action can be taken. Access control, surveillance, and security testing are considered the three most crucial elements of a physical security plan by security professionals, and collectively they improve the security of your place (</w:t>
      </w:r>
      <w:proofErr w:type="spellStart"/>
      <w:r w:rsidRPr="00120695">
        <w:rPr>
          <w:color w:val="0E101A"/>
        </w:rPr>
        <w:t>Paté</w:t>
      </w:r>
      <w:proofErr w:type="spellEnd"/>
      <w:r w:rsidRPr="00120695">
        <w:rPr>
          <w:color w:val="0E101A"/>
        </w:rPr>
        <w:t>‐Cornell et al.,2018).</w:t>
      </w:r>
    </w:p>
    <w:p w14:paraId="2C8E723A"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9</w:t>
      </w:r>
    </w:p>
    <w:p w14:paraId="6FC0F3B5"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Hazards that are uncontrollable by a person and that either result in a loss or no loss with no prospect of financial gain are called pure risks. Pure risk includes unplanned events like terrorist attacks or premature deaths, fires, floods, and other natural calamities. Security vulnerability analysis, on the other hand, is a methodical examination of security flaws in an information system (</w:t>
      </w:r>
      <w:proofErr w:type="spellStart"/>
      <w:r w:rsidRPr="00120695">
        <w:rPr>
          <w:color w:val="0E101A"/>
        </w:rPr>
        <w:t>Paté</w:t>
      </w:r>
      <w:proofErr w:type="spellEnd"/>
      <w:r w:rsidRPr="00120695">
        <w:rPr>
          <w:color w:val="0E101A"/>
        </w:rPr>
        <w:t>‐Cornell et al.,2018). It determines whether the system is vulnerable to any known flaws, rates their seriousness, and, as necessary, makes remedy or mitigation recommendations. A </w:t>
      </w:r>
      <w:r w:rsidRPr="00120695">
        <w:rPr>
          <w:rStyle w:val="Emphasis"/>
          <w:color w:val="0E101A"/>
        </w:rPr>
        <w:t>vulnerability assessment</w:t>
      </w:r>
      <w:r w:rsidRPr="00120695">
        <w:rPr>
          <w:color w:val="0E101A"/>
        </w:rPr>
        <w:t> is a testing procedure intended to locate and rate the seriousness of as many security flaws as feasible in a predetermined time (Zio,2016).</w:t>
      </w:r>
    </w:p>
    <w:p w14:paraId="58526262" w14:textId="77777777"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10</w:t>
      </w:r>
    </w:p>
    <w:p w14:paraId="6B953EB6" w14:textId="7A9DE172" w:rsidR="00120695" w:rsidRPr="00120695" w:rsidRDefault="00120695" w:rsidP="00120695">
      <w:pPr>
        <w:pStyle w:val="NormalWeb"/>
        <w:spacing w:before="0" w:beforeAutospacing="0" w:after="0" w:afterAutospacing="0" w:line="480" w:lineRule="auto"/>
        <w:ind w:firstLine="720"/>
        <w:rPr>
          <w:color w:val="0E101A"/>
        </w:rPr>
      </w:pPr>
      <w:r w:rsidRPr="00120695">
        <w:rPr>
          <w:color w:val="0E101A"/>
        </w:rPr>
        <w:t xml:space="preserve">Regarding the security of the crucial infrastructure, vulnerability and risk assessment are considered. Critical infrastructures are thought to be complicated, necessitating the development of novel analytical methods and numerous modeling perspectives. This is required to satisfy the scenario's requirements. The ideas of vulnerability, risk, and resilience are broken down and evaluated in terms of how they present and react to issues in critical infrastructures (CIs). In the context of making preventative decisions, new interpretations of these principles and their appropriate application are evaluated regarding how well they aid in our understanding of susceptibility and risk (Pursiainen,2018). The protection of vital infrastructure has </w:t>
      </w:r>
      <w:r w:rsidR="006523D0" w:rsidRPr="00120695">
        <w:rPr>
          <w:color w:val="0E101A"/>
        </w:rPr>
        <w:t>developed</w:t>
      </w:r>
      <w:r w:rsidRPr="00120695">
        <w:rPr>
          <w:color w:val="0E101A"/>
        </w:rPr>
        <w:t xml:space="preserve"> a national and </w:t>
      </w:r>
      <w:r w:rsidR="006523D0">
        <w:rPr>
          <w:color w:val="0E101A"/>
        </w:rPr>
        <w:t xml:space="preserve">also </w:t>
      </w:r>
      <w:r w:rsidRPr="00120695">
        <w:rPr>
          <w:color w:val="0E101A"/>
        </w:rPr>
        <w:t>international concern. Studies on vulnerability a</w:t>
      </w:r>
      <w:r w:rsidR="006523D0">
        <w:rPr>
          <w:color w:val="0E101A"/>
        </w:rPr>
        <w:t xml:space="preserve">s well as </w:t>
      </w:r>
      <w:r w:rsidRPr="00120695">
        <w:rPr>
          <w:color w:val="0E101A"/>
        </w:rPr>
        <w:t>risk must be conducted using new, more critical paradigms to be effective (</w:t>
      </w:r>
      <w:proofErr w:type="spellStart"/>
      <w:r w:rsidRPr="00120695">
        <w:rPr>
          <w:color w:val="0E101A"/>
        </w:rPr>
        <w:t>Paté</w:t>
      </w:r>
      <w:proofErr w:type="spellEnd"/>
      <w:r w:rsidRPr="00120695">
        <w:rPr>
          <w:color w:val="0E101A"/>
        </w:rPr>
        <w:t xml:space="preserve">‐Cornell et al.,2018). Because of the high level of inter- and intra-connectedness that </w:t>
      </w:r>
      <w:r w:rsidR="00335C36">
        <w:rPr>
          <w:color w:val="0E101A"/>
        </w:rPr>
        <w:t xml:space="preserve">the </w:t>
      </w:r>
      <w:r w:rsidRPr="00120695">
        <w:rPr>
          <w:color w:val="0E101A"/>
        </w:rPr>
        <w:t xml:space="preserve">critical </w:t>
      </w:r>
      <w:r w:rsidR="00335C36" w:rsidRPr="00120695">
        <w:rPr>
          <w:color w:val="0E101A"/>
        </w:rPr>
        <w:t>substructures</w:t>
      </w:r>
      <w:r w:rsidRPr="00120695">
        <w:rPr>
          <w:color w:val="0E101A"/>
        </w:rPr>
        <w:t xml:space="preserve"> reach, these systems may be susceptible to a global disruption if they are exposed to dangers of various kinds, such as random mechanical, physical, or material failures, natural disasters, software errors, deliberate, vicious attacks, human or organizational mistakes, or software failures. It is commonly acknowledged that this broadening range of risks and threats necessitates an all-hazards approach to adequately protect such systems by examining the failure behavior of </w:t>
      </w:r>
      <w:r w:rsidR="006523D0">
        <w:rPr>
          <w:color w:val="0E101A"/>
        </w:rPr>
        <w:t>the</w:t>
      </w:r>
      <w:r w:rsidRPr="00120695">
        <w:rPr>
          <w:color w:val="0E101A"/>
        </w:rPr>
        <w:t xml:space="preserve"> systems. </w:t>
      </w:r>
    </w:p>
    <w:p w14:paraId="5793C8A6" w14:textId="77777777" w:rsidR="00120695" w:rsidRPr="00120695" w:rsidRDefault="00120695" w:rsidP="00120695">
      <w:pPr>
        <w:pStyle w:val="NormalWeb"/>
        <w:spacing w:before="0" w:beforeAutospacing="0" w:after="0" w:afterAutospacing="0" w:line="480" w:lineRule="auto"/>
        <w:ind w:firstLine="720"/>
        <w:rPr>
          <w:color w:val="0E101A"/>
        </w:rPr>
      </w:pPr>
    </w:p>
    <w:p w14:paraId="5B855DF2" w14:textId="20F6E70B" w:rsidR="00120695" w:rsidRDefault="00120695" w:rsidP="00120695">
      <w:pPr>
        <w:pStyle w:val="NormalWeb"/>
        <w:spacing w:before="0" w:beforeAutospacing="0" w:after="0" w:afterAutospacing="0" w:line="480" w:lineRule="auto"/>
        <w:ind w:firstLine="720"/>
        <w:rPr>
          <w:color w:val="0E101A"/>
        </w:rPr>
      </w:pPr>
    </w:p>
    <w:p w14:paraId="3B0A467F" w14:textId="143F4424" w:rsidR="0037279A" w:rsidRDefault="0037279A" w:rsidP="00120695">
      <w:pPr>
        <w:pStyle w:val="NormalWeb"/>
        <w:spacing w:before="0" w:beforeAutospacing="0" w:after="0" w:afterAutospacing="0" w:line="480" w:lineRule="auto"/>
        <w:ind w:firstLine="720"/>
        <w:rPr>
          <w:color w:val="0E101A"/>
        </w:rPr>
      </w:pPr>
    </w:p>
    <w:p w14:paraId="5A25CFED" w14:textId="77A68F6F" w:rsidR="0037279A" w:rsidRDefault="0037279A" w:rsidP="00120695">
      <w:pPr>
        <w:pStyle w:val="NormalWeb"/>
        <w:spacing w:before="0" w:beforeAutospacing="0" w:after="0" w:afterAutospacing="0" w:line="480" w:lineRule="auto"/>
        <w:ind w:firstLine="720"/>
        <w:rPr>
          <w:color w:val="0E101A"/>
        </w:rPr>
      </w:pPr>
    </w:p>
    <w:p w14:paraId="4BD99B72" w14:textId="762D43A5" w:rsidR="0037279A" w:rsidRDefault="0037279A" w:rsidP="00120695">
      <w:pPr>
        <w:pStyle w:val="NormalWeb"/>
        <w:spacing w:before="0" w:beforeAutospacing="0" w:after="0" w:afterAutospacing="0" w:line="480" w:lineRule="auto"/>
        <w:ind w:firstLine="720"/>
        <w:rPr>
          <w:color w:val="0E101A"/>
        </w:rPr>
      </w:pPr>
    </w:p>
    <w:p w14:paraId="41890BF9" w14:textId="77777777" w:rsidR="0037279A" w:rsidRPr="00120695" w:rsidRDefault="0037279A" w:rsidP="00120695">
      <w:pPr>
        <w:pStyle w:val="NormalWeb"/>
        <w:spacing w:before="0" w:beforeAutospacing="0" w:after="0" w:afterAutospacing="0" w:line="480" w:lineRule="auto"/>
        <w:ind w:firstLine="720"/>
        <w:rPr>
          <w:color w:val="0E101A"/>
        </w:rPr>
      </w:pPr>
    </w:p>
    <w:p w14:paraId="2671FE5B" w14:textId="77777777" w:rsidR="00120695" w:rsidRPr="00120695" w:rsidRDefault="00120695" w:rsidP="0037279A">
      <w:pPr>
        <w:pStyle w:val="NormalWeb"/>
        <w:spacing w:before="0" w:beforeAutospacing="0" w:after="0" w:afterAutospacing="0" w:line="480" w:lineRule="auto"/>
        <w:ind w:left="720" w:hanging="720"/>
        <w:jc w:val="center"/>
        <w:rPr>
          <w:color w:val="0E101A"/>
        </w:rPr>
      </w:pPr>
      <w:r w:rsidRPr="00120695">
        <w:rPr>
          <w:rStyle w:val="Strong"/>
          <w:color w:val="0E101A"/>
        </w:rPr>
        <w:t>References</w:t>
      </w:r>
    </w:p>
    <w:p w14:paraId="7E37C30B" w14:textId="77777777" w:rsidR="00120695" w:rsidRPr="00120695" w:rsidRDefault="00120695" w:rsidP="0037279A">
      <w:pPr>
        <w:pStyle w:val="NormalWeb"/>
        <w:spacing w:before="0" w:beforeAutospacing="0" w:after="0" w:afterAutospacing="0" w:line="480" w:lineRule="auto"/>
        <w:ind w:left="720" w:hanging="720"/>
        <w:rPr>
          <w:color w:val="0E101A"/>
        </w:rPr>
      </w:pPr>
      <w:r w:rsidRPr="00120695">
        <w:rPr>
          <w:color w:val="0E101A"/>
        </w:rPr>
        <w:t xml:space="preserve">Abedi, A., </w:t>
      </w:r>
      <w:proofErr w:type="spellStart"/>
      <w:r w:rsidRPr="00120695">
        <w:rPr>
          <w:color w:val="0E101A"/>
        </w:rPr>
        <w:t>Gaudard</w:t>
      </w:r>
      <w:proofErr w:type="spellEnd"/>
      <w:r w:rsidRPr="00120695">
        <w:rPr>
          <w:color w:val="0E101A"/>
        </w:rPr>
        <w:t xml:space="preserve">, L., &amp; </w:t>
      </w:r>
      <w:proofErr w:type="spellStart"/>
      <w:r w:rsidRPr="00120695">
        <w:rPr>
          <w:color w:val="0E101A"/>
        </w:rPr>
        <w:t>Romerio</w:t>
      </w:r>
      <w:proofErr w:type="spellEnd"/>
      <w:r w:rsidRPr="00120695">
        <w:rPr>
          <w:color w:val="0E101A"/>
        </w:rPr>
        <w:t>, F. (2019). Review of practical approaches to analyzing vulnerability in power systems. Reliability Engineering &amp; System Safety, 183, 153-172.</w:t>
      </w:r>
    </w:p>
    <w:p w14:paraId="3C4282F8" w14:textId="77777777" w:rsidR="00120695" w:rsidRPr="00120695" w:rsidRDefault="00120695" w:rsidP="0037279A">
      <w:pPr>
        <w:pStyle w:val="NormalWeb"/>
        <w:spacing w:before="0" w:beforeAutospacing="0" w:after="0" w:afterAutospacing="0" w:line="480" w:lineRule="auto"/>
        <w:ind w:left="720" w:hanging="720"/>
        <w:rPr>
          <w:color w:val="0E101A"/>
        </w:rPr>
      </w:pPr>
      <w:r w:rsidRPr="00120695">
        <w:rPr>
          <w:color w:val="0E101A"/>
        </w:rPr>
        <w:t>Andrew, L. (2020). The vulnerability of vital systems: how critical infrastructure became a security problem. In Securing 'the Homeland' (pp. 17–39). Routledge.</w:t>
      </w:r>
    </w:p>
    <w:p w14:paraId="5EA7353D" w14:textId="77777777" w:rsidR="00120695" w:rsidRPr="00120695" w:rsidRDefault="00120695" w:rsidP="0037279A">
      <w:pPr>
        <w:pStyle w:val="NormalWeb"/>
        <w:spacing w:before="0" w:beforeAutospacing="0" w:after="0" w:afterAutospacing="0" w:line="480" w:lineRule="auto"/>
        <w:ind w:left="720" w:hanging="720"/>
        <w:rPr>
          <w:color w:val="0E101A"/>
        </w:rPr>
      </w:pPr>
      <w:r w:rsidRPr="00120695">
        <w:rPr>
          <w:color w:val="0E101A"/>
        </w:rPr>
        <w:t>Bennett, B. T. (2018). Understanding, assessing, and responding to terrorism: Protecting critical infrastructure and personnel. John Wiley &amp; Sons.</w:t>
      </w:r>
    </w:p>
    <w:p w14:paraId="4FB25A7F" w14:textId="77777777" w:rsidR="00120695" w:rsidRPr="00120695" w:rsidRDefault="00120695" w:rsidP="0037279A">
      <w:pPr>
        <w:pStyle w:val="NormalWeb"/>
        <w:spacing w:before="0" w:beforeAutospacing="0" w:after="0" w:afterAutospacing="0" w:line="480" w:lineRule="auto"/>
        <w:ind w:left="720" w:hanging="720"/>
        <w:rPr>
          <w:color w:val="0E101A"/>
        </w:rPr>
      </w:pPr>
      <w:r w:rsidRPr="00120695">
        <w:rPr>
          <w:color w:val="0E101A"/>
        </w:rPr>
        <w:t>Lewis, T. G. (2019). Critical infrastructure protection in homeland security: defending a networked nation. John Wiley &amp; Sons.</w:t>
      </w:r>
    </w:p>
    <w:p w14:paraId="0846A537" w14:textId="77777777" w:rsidR="00120695" w:rsidRPr="00120695" w:rsidRDefault="00120695" w:rsidP="0037279A">
      <w:pPr>
        <w:pStyle w:val="NormalWeb"/>
        <w:spacing w:before="0" w:beforeAutospacing="0" w:after="0" w:afterAutospacing="0" w:line="480" w:lineRule="auto"/>
        <w:ind w:left="720" w:hanging="720"/>
        <w:rPr>
          <w:color w:val="0E101A"/>
        </w:rPr>
      </w:pPr>
      <w:proofErr w:type="spellStart"/>
      <w:r w:rsidRPr="00120695">
        <w:rPr>
          <w:color w:val="0E101A"/>
        </w:rPr>
        <w:t>Paté</w:t>
      </w:r>
      <w:proofErr w:type="spellEnd"/>
      <w:r w:rsidRPr="00120695">
        <w:rPr>
          <w:color w:val="0E101A"/>
        </w:rPr>
        <w:t xml:space="preserve">‐Cornell, M. E., </w:t>
      </w:r>
      <w:proofErr w:type="spellStart"/>
      <w:r w:rsidRPr="00120695">
        <w:rPr>
          <w:color w:val="0E101A"/>
        </w:rPr>
        <w:t>Kuypers</w:t>
      </w:r>
      <w:proofErr w:type="spellEnd"/>
      <w:r w:rsidRPr="00120695">
        <w:rPr>
          <w:color w:val="0E101A"/>
        </w:rPr>
        <w:t>, M., Smith, M., &amp; Keller, P. (2018). Cyber risk management for critical infrastructure: a risk analysis model and three case studies. Risk Analysis, 38(2), 226-241.</w:t>
      </w:r>
    </w:p>
    <w:p w14:paraId="193CD1C0" w14:textId="77777777" w:rsidR="00120695" w:rsidRPr="00120695" w:rsidRDefault="00120695" w:rsidP="0037279A">
      <w:pPr>
        <w:pStyle w:val="NormalWeb"/>
        <w:spacing w:before="0" w:beforeAutospacing="0" w:after="0" w:afterAutospacing="0" w:line="480" w:lineRule="auto"/>
        <w:ind w:left="720" w:hanging="720"/>
        <w:rPr>
          <w:color w:val="0E101A"/>
        </w:rPr>
      </w:pPr>
      <w:proofErr w:type="spellStart"/>
      <w:r w:rsidRPr="00120695">
        <w:rPr>
          <w:color w:val="0E101A"/>
        </w:rPr>
        <w:t>Pursiainen</w:t>
      </w:r>
      <w:proofErr w:type="spellEnd"/>
      <w:r w:rsidRPr="00120695">
        <w:rPr>
          <w:color w:val="0E101A"/>
        </w:rPr>
        <w:t>, C. (2018). Critical infrastructure resilience: A Nordic model in the making. International journal of disaster risk reduction, 27, 632-641.</w:t>
      </w:r>
    </w:p>
    <w:p w14:paraId="4D477104" w14:textId="0B14A4D6" w:rsidR="00120695" w:rsidRPr="00120695" w:rsidRDefault="00120695" w:rsidP="0037279A">
      <w:pPr>
        <w:pStyle w:val="NormalWeb"/>
        <w:spacing w:before="0" w:beforeAutospacing="0" w:after="0" w:afterAutospacing="0" w:line="480" w:lineRule="auto"/>
        <w:ind w:left="720" w:hanging="720"/>
        <w:rPr>
          <w:color w:val="0E101A"/>
        </w:rPr>
      </w:pPr>
      <w:r w:rsidRPr="00120695">
        <w:rPr>
          <w:color w:val="0E101A"/>
        </w:rPr>
        <w:t xml:space="preserve">Zio, E. (2016). Challenges in the </w:t>
      </w:r>
      <w:r w:rsidR="00335C36" w:rsidRPr="00120695">
        <w:rPr>
          <w:color w:val="0E101A"/>
        </w:rPr>
        <w:t>susceptibility</w:t>
      </w:r>
      <w:r w:rsidRPr="00120695">
        <w:rPr>
          <w:color w:val="0E101A"/>
        </w:rPr>
        <w:t xml:space="preserve"> and risk </w:t>
      </w:r>
      <w:r w:rsidR="00335C36" w:rsidRPr="00120695">
        <w:rPr>
          <w:color w:val="0E101A"/>
        </w:rPr>
        <w:t>examination</w:t>
      </w:r>
      <w:r w:rsidRPr="00120695">
        <w:rPr>
          <w:color w:val="0E101A"/>
        </w:rPr>
        <w:t xml:space="preserve"> of critical infrastructures. Reliability Engineering &amp; System Safety, pp. 152, 137–150.</w:t>
      </w:r>
    </w:p>
    <w:p w14:paraId="48C77E1E" w14:textId="77777777" w:rsidR="00120695" w:rsidRPr="00120695" w:rsidRDefault="00120695" w:rsidP="0037279A">
      <w:pPr>
        <w:pStyle w:val="NormalWeb"/>
        <w:spacing w:before="0" w:beforeAutospacing="0" w:after="0" w:afterAutospacing="0" w:line="480" w:lineRule="auto"/>
        <w:ind w:left="720" w:hanging="720"/>
        <w:rPr>
          <w:color w:val="0E101A"/>
        </w:rPr>
      </w:pPr>
    </w:p>
    <w:p w14:paraId="5C26DAEF" w14:textId="77777777" w:rsidR="0045554D" w:rsidRPr="00120695" w:rsidRDefault="0045554D" w:rsidP="0037279A">
      <w:pPr>
        <w:spacing w:line="480" w:lineRule="auto"/>
        <w:ind w:left="720" w:hanging="720"/>
        <w:rPr>
          <w:rFonts w:ascii="Times New Roman" w:hAnsi="Times New Roman" w:cs="Times New Roman"/>
          <w:sz w:val="24"/>
          <w:szCs w:val="24"/>
        </w:rPr>
      </w:pPr>
    </w:p>
    <w:sectPr w:rsidR="0045554D" w:rsidRPr="001206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EF3C5" w14:textId="77777777" w:rsidR="00FB4A79" w:rsidRDefault="00FB4A79" w:rsidP="0037279A">
      <w:pPr>
        <w:spacing w:after="0" w:line="240" w:lineRule="auto"/>
      </w:pPr>
      <w:r>
        <w:separator/>
      </w:r>
    </w:p>
  </w:endnote>
  <w:endnote w:type="continuationSeparator" w:id="0">
    <w:p w14:paraId="4D0651E8" w14:textId="77777777" w:rsidR="00FB4A79" w:rsidRDefault="00FB4A79" w:rsidP="00372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Bold">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89065" w14:textId="77777777" w:rsidR="00FB4A79" w:rsidRDefault="00FB4A79" w:rsidP="0037279A">
      <w:pPr>
        <w:spacing w:after="0" w:line="240" w:lineRule="auto"/>
      </w:pPr>
      <w:r>
        <w:separator/>
      </w:r>
    </w:p>
  </w:footnote>
  <w:footnote w:type="continuationSeparator" w:id="0">
    <w:p w14:paraId="4F30D337" w14:textId="77777777" w:rsidR="00FB4A79" w:rsidRDefault="00FB4A79" w:rsidP="00372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30626"/>
      <w:docPartObj>
        <w:docPartGallery w:val="Page Numbers (Top of Page)"/>
        <w:docPartUnique/>
      </w:docPartObj>
    </w:sdtPr>
    <w:sdtEndPr>
      <w:rPr>
        <w:noProof/>
      </w:rPr>
    </w:sdtEndPr>
    <w:sdtContent>
      <w:p w14:paraId="49A5E7F6" w14:textId="5D543D58" w:rsidR="0037279A" w:rsidRDefault="0037279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16F6F6" w14:textId="77777777" w:rsidR="0037279A" w:rsidRDefault="00372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F167D1"/>
    <w:multiLevelType w:val="hybridMultilevel"/>
    <w:tmpl w:val="FEB04DCC"/>
    <w:lvl w:ilvl="0" w:tplc="0409000F">
      <w:start w:val="1"/>
      <w:numFmt w:val="decimal"/>
      <w:lvlText w:val="%1."/>
      <w:lvlJc w:val="left"/>
      <w:pPr>
        <w:ind w:left="630" w:hanging="360"/>
      </w:pPr>
    </w:lvl>
    <w:lvl w:ilvl="1" w:tplc="204440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643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6E"/>
    <w:rsid w:val="000260C4"/>
    <w:rsid w:val="00120695"/>
    <w:rsid w:val="003132E8"/>
    <w:rsid w:val="00330A29"/>
    <w:rsid w:val="00335C36"/>
    <w:rsid w:val="00351E9A"/>
    <w:rsid w:val="0037279A"/>
    <w:rsid w:val="0045554D"/>
    <w:rsid w:val="0048550E"/>
    <w:rsid w:val="00542208"/>
    <w:rsid w:val="00550A11"/>
    <w:rsid w:val="00555B93"/>
    <w:rsid w:val="005F5B6E"/>
    <w:rsid w:val="006523D0"/>
    <w:rsid w:val="0068142D"/>
    <w:rsid w:val="00690B56"/>
    <w:rsid w:val="006F5DB4"/>
    <w:rsid w:val="007500BD"/>
    <w:rsid w:val="00893394"/>
    <w:rsid w:val="00921D87"/>
    <w:rsid w:val="00996034"/>
    <w:rsid w:val="009C2402"/>
    <w:rsid w:val="00AE4B47"/>
    <w:rsid w:val="00E77CEA"/>
    <w:rsid w:val="00ED53A9"/>
    <w:rsid w:val="00F062D0"/>
    <w:rsid w:val="00FB0AE2"/>
    <w:rsid w:val="00FB4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3B6BE"/>
  <w15:chartTrackingRefBased/>
  <w15:docId w15:val="{05B1DA6F-196C-4692-9C2D-044A203B9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7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06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0695"/>
    <w:rPr>
      <w:b/>
      <w:bCs/>
    </w:rPr>
  </w:style>
  <w:style w:type="character" w:styleId="Emphasis">
    <w:name w:val="Emphasis"/>
    <w:basedOn w:val="DefaultParagraphFont"/>
    <w:uiPriority w:val="20"/>
    <w:qFormat/>
    <w:rsid w:val="00120695"/>
    <w:rPr>
      <w:i/>
      <w:iCs/>
    </w:rPr>
  </w:style>
  <w:style w:type="paragraph" w:styleId="ListParagraph">
    <w:name w:val="List Paragraph"/>
    <w:basedOn w:val="Normal"/>
    <w:uiPriority w:val="34"/>
    <w:qFormat/>
    <w:rsid w:val="0037279A"/>
    <w:pPr>
      <w:ind w:left="720"/>
      <w:contextualSpacing/>
    </w:pPr>
  </w:style>
  <w:style w:type="character" w:customStyle="1" w:styleId="Heading1Char">
    <w:name w:val="Heading 1 Char"/>
    <w:basedOn w:val="DefaultParagraphFont"/>
    <w:link w:val="Heading1"/>
    <w:uiPriority w:val="9"/>
    <w:rsid w:val="0037279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7279A"/>
    <w:pPr>
      <w:outlineLvl w:val="9"/>
    </w:pPr>
  </w:style>
  <w:style w:type="paragraph" w:styleId="Header">
    <w:name w:val="header"/>
    <w:basedOn w:val="Normal"/>
    <w:link w:val="HeaderChar"/>
    <w:uiPriority w:val="99"/>
    <w:unhideWhenUsed/>
    <w:rsid w:val="00372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79A"/>
  </w:style>
  <w:style w:type="paragraph" w:styleId="Footer">
    <w:name w:val="footer"/>
    <w:basedOn w:val="Normal"/>
    <w:link w:val="FooterChar"/>
    <w:uiPriority w:val="99"/>
    <w:unhideWhenUsed/>
    <w:rsid w:val="00372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27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3405</Words>
  <Characters>19414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Mutua writer</dc:creator>
  <cp:keywords/>
  <dc:description/>
  <cp:lastModifiedBy>kelcey Grissom</cp:lastModifiedBy>
  <cp:revision>2</cp:revision>
  <dcterms:created xsi:type="dcterms:W3CDTF">2022-09-18T19:52:00Z</dcterms:created>
  <dcterms:modified xsi:type="dcterms:W3CDTF">2022-09-18T19:52:00Z</dcterms:modified>
</cp:coreProperties>
</file>