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3BE" w:rsidRPr="008903BE" w:rsidRDefault="008903BE" w:rsidP="008903BE">
      <w:pPr>
        <w:spacing w:before="120" w:after="240" w:line="240" w:lineRule="auto"/>
        <w:rPr>
          <w:rFonts w:ascii="Times New Roman" w:eastAsia="Times New Roman" w:hAnsi="Times New Roman" w:cs="Times New Roman"/>
          <w:color w:val="202122"/>
          <w:spacing w:val="3"/>
          <w:sz w:val="24"/>
          <w:szCs w:val="24"/>
        </w:rPr>
      </w:pPr>
      <w:r w:rsidRPr="008903BE">
        <w:rPr>
          <w:rFonts w:ascii="Times New Roman" w:eastAsia="Times New Roman" w:hAnsi="Times New Roman" w:cs="Times New Roman"/>
          <w:color w:val="202122"/>
          <w:spacing w:val="3"/>
          <w:sz w:val="24"/>
          <w:szCs w:val="24"/>
        </w:rPr>
        <w:t>For many nurses, the American Nurses Association (ANA, 2015) </w:t>
      </w:r>
      <w:r w:rsidRPr="008903BE">
        <w:rPr>
          <w:rFonts w:ascii="Times New Roman" w:eastAsia="Times New Roman" w:hAnsi="Times New Roman" w:cs="Times New Roman"/>
          <w:i/>
          <w:iCs/>
          <w:color w:val="202122"/>
          <w:spacing w:val="3"/>
          <w:sz w:val="24"/>
          <w:szCs w:val="24"/>
        </w:rPr>
        <w:t>Code of Ethics for Nurses</w:t>
      </w:r>
      <w:r w:rsidRPr="008903BE">
        <w:rPr>
          <w:rFonts w:ascii="Times New Roman" w:eastAsia="Times New Roman" w:hAnsi="Times New Roman" w:cs="Times New Roman"/>
          <w:color w:val="202122"/>
          <w:spacing w:val="3"/>
          <w:sz w:val="24"/>
          <w:szCs w:val="24"/>
        </w:rPr>
        <w:t> is the single most useful document to consult when dealing with ethical problems in nursing practice. The Code offers standards for ethical behavior but does not provide the theoretical underpinnings of those standards. Discussion questions (</w:t>
      </w:r>
      <w:r w:rsidR="00E2306E" w:rsidRPr="00303CD9">
        <w:rPr>
          <w:rFonts w:ascii="Times New Roman" w:eastAsia="Times New Roman" w:hAnsi="Times New Roman" w:cs="Times New Roman"/>
          <w:color w:val="202122"/>
          <w:spacing w:val="3"/>
          <w:sz w:val="24"/>
          <w:szCs w:val="24"/>
        </w:rPr>
        <w:t xml:space="preserve">links to </w:t>
      </w:r>
      <w:r w:rsidR="00E2306E" w:rsidRPr="00303CD9">
        <w:rPr>
          <w:rFonts w:ascii="Times New Roman" w:hAnsi="Times New Roman" w:cs="Times New Roman"/>
          <w:color w:val="333333"/>
          <w:sz w:val="24"/>
          <w:szCs w:val="24"/>
          <w:shd w:val="clear" w:color="auto" w:fill="FFFFFF"/>
        </w:rPr>
        <w:t>theories of deontology and teleology</w:t>
      </w:r>
      <w:r w:rsidRPr="008903BE">
        <w:rPr>
          <w:rFonts w:ascii="Times New Roman" w:eastAsia="Times New Roman" w:hAnsi="Times New Roman" w:cs="Times New Roman"/>
          <w:color w:val="202122"/>
          <w:spacing w:val="3"/>
          <w:sz w:val="24"/>
          <w:szCs w:val="24"/>
        </w:rPr>
        <w:t>).</w:t>
      </w:r>
    </w:p>
    <w:p w:rsidR="008903BE" w:rsidRPr="008903BE" w:rsidRDefault="008903BE" w:rsidP="008903BE">
      <w:pPr>
        <w:spacing w:before="120" w:after="240" w:line="240" w:lineRule="auto"/>
        <w:rPr>
          <w:rFonts w:ascii="Times New Roman" w:eastAsia="Times New Roman" w:hAnsi="Times New Roman" w:cs="Times New Roman"/>
          <w:color w:val="202122"/>
          <w:spacing w:val="3"/>
          <w:sz w:val="24"/>
          <w:szCs w:val="24"/>
        </w:rPr>
      </w:pPr>
      <w:r w:rsidRPr="008903BE">
        <w:rPr>
          <w:rFonts w:ascii="Times New Roman" w:eastAsia="Times New Roman" w:hAnsi="Times New Roman" w:cs="Times New Roman"/>
          <w:color w:val="202122"/>
          <w:spacing w:val="3"/>
          <w:sz w:val="24"/>
          <w:szCs w:val="24"/>
        </w:rPr>
        <w:t xml:space="preserve">In preparation for this discussion, please identify one of the nine tenets in the Code that is not clear or that you find difficult to support in your practice setting. After </w:t>
      </w:r>
      <w:r w:rsidRPr="00303CD9">
        <w:rPr>
          <w:rFonts w:ascii="Times New Roman" w:eastAsia="Times New Roman" w:hAnsi="Times New Roman" w:cs="Times New Roman"/>
          <w:color w:val="202122"/>
          <w:spacing w:val="3"/>
          <w:sz w:val="24"/>
          <w:szCs w:val="24"/>
        </w:rPr>
        <w:t>reviewing</w:t>
      </w:r>
      <w:r w:rsidRPr="008903BE">
        <w:rPr>
          <w:rFonts w:ascii="Times New Roman" w:eastAsia="Times New Roman" w:hAnsi="Times New Roman" w:cs="Times New Roman"/>
          <w:color w:val="202122"/>
          <w:spacing w:val="3"/>
          <w:sz w:val="24"/>
          <w:szCs w:val="24"/>
        </w:rPr>
        <w:t xml:space="preserve"> the accompanying interpretive statements in the text, analyze the ways in which the tenet reflects the ethical theories you reviewed in week one.</w:t>
      </w:r>
    </w:p>
    <w:p w:rsidR="008903BE" w:rsidRPr="008903BE" w:rsidRDefault="008903BE" w:rsidP="008903BE">
      <w:pPr>
        <w:spacing w:before="120" w:after="240" w:line="240" w:lineRule="auto"/>
        <w:rPr>
          <w:rFonts w:ascii="Times New Roman" w:eastAsia="Times New Roman" w:hAnsi="Times New Roman" w:cs="Times New Roman"/>
          <w:color w:val="202122"/>
          <w:spacing w:val="3"/>
          <w:sz w:val="24"/>
          <w:szCs w:val="24"/>
        </w:rPr>
      </w:pPr>
      <w:r w:rsidRPr="008903BE">
        <w:rPr>
          <w:rFonts w:ascii="Times New Roman" w:eastAsia="Times New Roman" w:hAnsi="Times New Roman" w:cs="Times New Roman"/>
          <w:color w:val="202122"/>
          <w:spacing w:val="3"/>
          <w:sz w:val="24"/>
          <w:szCs w:val="24"/>
        </w:rPr>
        <w:t>Please include the following:</w:t>
      </w:r>
    </w:p>
    <w:p w:rsidR="008903BE" w:rsidRPr="008903BE" w:rsidRDefault="008903BE" w:rsidP="008903BE">
      <w:pPr>
        <w:numPr>
          <w:ilvl w:val="0"/>
          <w:numId w:val="1"/>
        </w:numPr>
        <w:spacing w:before="100" w:beforeAutospacing="1" w:after="100" w:afterAutospacing="1" w:line="240" w:lineRule="auto"/>
        <w:rPr>
          <w:rFonts w:ascii="Times New Roman" w:eastAsia="Times New Roman" w:hAnsi="Times New Roman" w:cs="Times New Roman"/>
          <w:color w:val="202122"/>
          <w:spacing w:val="3"/>
          <w:sz w:val="24"/>
          <w:szCs w:val="24"/>
        </w:rPr>
      </w:pPr>
      <w:r w:rsidRPr="008903BE">
        <w:rPr>
          <w:rFonts w:ascii="Times New Roman" w:eastAsia="Times New Roman" w:hAnsi="Times New Roman" w:cs="Times New Roman"/>
          <w:color w:val="202122"/>
          <w:spacing w:val="3"/>
          <w:sz w:val="24"/>
          <w:szCs w:val="24"/>
        </w:rPr>
        <w:t>Identify the tenet you have selected and why you find it unclear or difficult to support in your practice.</w:t>
      </w:r>
    </w:p>
    <w:p w:rsidR="008903BE" w:rsidRPr="008903BE" w:rsidRDefault="008903BE" w:rsidP="008903BE">
      <w:pPr>
        <w:numPr>
          <w:ilvl w:val="0"/>
          <w:numId w:val="1"/>
        </w:numPr>
        <w:spacing w:before="100" w:beforeAutospacing="1" w:after="100" w:afterAutospacing="1" w:line="240" w:lineRule="auto"/>
        <w:rPr>
          <w:rFonts w:ascii="Times New Roman" w:eastAsia="Times New Roman" w:hAnsi="Times New Roman" w:cs="Times New Roman"/>
          <w:color w:val="202122"/>
          <w:spacing w:val="3"/>
          <w:sz w:val="24"/>
          <w:szCs w:val="24"/>
        </w:rPr>
      </w:pPr>
      <w:r w:rsidRPr="008903BE">
        <w:rPr>
          <w:rFonts w:ascii="Times New Roman" w:eastAsia="Times New Roman" w:hAnsi="Times New Roman" w:cs="Times New Roman"/>
          <w:color w:val="202122"/>
          <w:spacing w:val="3"/>
          <w:sz w:val="24"/>
          <w:szCs w:val="24"/>
        </w:rPr>
        <w:t>Give an example of how the tenet might be applied in your practice setting.</w:t>
      </w:r>
    </w:p>
    <w:p w:rsidR="008903BE" w:rsidRPr="008903BE" w:rsidRDefault="008903BE" w:rsidP="008903BE">
      <w:pPr>
        <w:numPr>
          <w:ilvl w:val="0"/>
          <w:numId w:val="1"/>
        </w:numPr>
        <w:spacing w:before="100" w:beforeAutospacing="1" w:after="100" w:afterAutospacing="1" w:line="240" w:lineRule="auto"/>
        <w:rPr>
          <w:rFonts w:ascii="Times New Roman" w:eastAsia="Times New Roman" w:hAnsi="Times New Roman" w:cs="Times New Roman"/>
          <w:color w:val="202122"/>
          <w:spacing w:val="3"/>
          <w:sz w:val="24"/>
          <w:szCs w:val="24"/>
        </w:rPr>
      </w:pPr>
      <w:r w:rsidRPr="008903BE">
        <w:rPr>
          <w:rFonts w:ascii="Times New Roman" w:eastAsia="Times New Roman" w:hAnsi="Times New Roman" w:cs="Times New Roman"/>
          <w:color w:val="202122"/>
          <w:spacing w:val="3"/>
          <w:sz w:val="24"/>
          <w:szCs w:val="24"/>
        </w:rPr>
        <w:t>Explain the ways in which the tenet is supported by any or all of the theories you reviewed in week one.</w:t>
      </w:r>
    </w:p>
    <w:p w:rsidR="008903BE" w:rsidRPr="008903BE" w:rsidRDefault="008903BE" w:rsidP="008903BE">
      <w:pPr>
        <w:numPr>
          <w:ilvl w:val="0"/>
          <w:numId w:val="1"/>
        </w:numPr>
        <w:spacing w:before="100" w:beforeAutospacing="1" w:after="100" w:afterAutospacing="1" w:line="240" w:lineRule="auto"/>
        <w:rPr>
          <w:rFonts w:ascii="Times New Roman" w:eastAsia="Times New Roman" w:hAnsi="Times New Roman" w:cs="Times New Roman"/>
          <w:color w:val="202122"/>
          <w:spacing w:val="3"/>
          <w:sz w:val="24"/>
          <w:szCs w:val="24"/>
        </w:rPr>
      </w:pPr>
      <w:r w:rsidRPr="008903BE">
        <w:rPr>
          <w:rFonts w:ascii="Times New Roman" w:eastAsia="Times New Roman" w:hAnsi="Times New Roman" w:cs="Times New Roman"/>
          <w:color w:val="202122"/>
          <w:spacing w:val="3"/>
          <w:sz w:val="24"/>
          <w:szCs w:val="24"/>
        </w:rPr>
        <w:t>Explain how the tenet is compatible with any of the ethical theories.</w:t>
      </w:r>
    </w:p>
    <w:p w:rsidR="008903BE" w:rsidRDefault="008903BE" w:rsidP="008903BE">
      <w:pPr>
        <w:numPr>
          <w:ilvl w:val="0"/>
          <w:numId w:val="1"/>
        </w:numPr>
        <w:spacing w:before="100" w:beforeAutospacing="1" w:after="100" w:afterAutospacing="1" w:line="240" w:lineRule="auto"/>
        <w:rPr>
          <w:rFonts w:ascii="Times New Roman" w:eastAsia="Times New Roman" w:hAnsi="Times New Roman" w:cs="Times New Roman"/>
          <w:color w:val="202122"/>
          <w:spacing w:val="3"/>
          <w:sz w:val="24"/>
          <w:szCs w:val="24"/>
        </w:rPr>
      </w:pPr>
      <w:r w:rsidRPr="008903BE">
        <w:rPr>
          <w:rFonts w:ascii="Times New Roman" w:eastAsia="Times New Roman" w:hAnsi="Times New Roman" w:cs="Times New Roman"/>
          <w:color w:val="202122"/>
          <w:spacing w:val="3"/>
          <w:sz w:val="24"/>
          <w:szCs w:val="24"/>
        </w:rPr>
        <w:t>Explain why, in light of these theories, the meaning or usefulness of the tenet may be more apparent to you now. Alternatively, does it still seem congruent with your practice?</w:t>
      </w:r>
    </w:p>
    <w:p w:rsidR="002C5320" w:rsidRPr="00FF24FE" w:rsidRDefault="002C5320" w:rsidP="002C5320">
      <w:pPr>
        <w:shd w:val="clear" w:color="auto" w:fill="FFFFFF"/>
        <w:spacing w:after="100" w:afterAutospacing="1" w:line="360" w:lineRule="auto"/>
        <w:rPr>
          <w:rFonts w:ascii="Times New Roman" w:eastAsia="Times New Roman" w:hAnsi="Times New Roman" w:cs="Times New Roman"/>
          <w:sz w:val="24"/>
          <w:szCs w:val="24"/>
        </w:rPr>
      </w:pPr>
      <w:r w:rsidRPr="00FF24FE">
        <w:rPr>
          <w:rFonts w:ascii="Times New Roman" w:eastAsia="Times New Roman" w:hAnsi="Times New Roman" w:cs="Times New Roman"/>
          <w:sz w:val="24"/>
          <w:szCs w:val="24"/>
        </w:rPr>
        <w:t xml:space="preserve">Please include the following: </w:t>
      </w:r>
    </w:p>
    <w:p w:rsidR="002C5320" w:rsidRPr="00FF24FE" w:rsidRDefault="002C5320" w:rsidP="002C5320">
      <w:pPr>
        <w:numPr>
          <w:ilvl w:val="0"/>
          <w:numId w:val="2"/>
        </w:numPr>
        <w:shd w:val="clear" w:color="auto" w:fill="FFFFFF"/>
        <w:spacing w:before="100" w:beforeAutospacing="1" w:after="100" w:afterAutospacing="1" w:line="360" w:lineRule="auto"/>
        <w:ind w:left="495"/>
        <w:rPr>
          <w:rFonts w:ascii="Times New Roman" w:eastAsia="Times New Roman" w:hAnsi="Times New Roman" w:cs="Times New Roman"/>
          <w:sz w:val="24"/>
          <w:szCs w:val="24"/>
        </w:rPr>
      </w:pPr>
      <w:r w:rsidRPr="00FF24FE">
        <w:rPr>
          <w:rFonts w:ascii="Times New Roman" w:eastAsia="Times New Roman" w:hAnsi="Times New Roman" w:cs="Times New Roman"/>
          <w:sz w:val="24"/>
          <w:szCs w:val="24"/>
        </w:rPr>
        <w:t>Identify the tenet you have selected and why you find it unclear or difficult to support in your practice</w:t>
      </w:r>
      <w:r w:rsidRPr="007B4934">
        <w:rPr>
          <w:rFonts w:ascii="Times New Roman" w:eastAsia="Times New Roman" w:hAnsi="Times New Roman" w:cs="Times New Roman"/>
          <w:sz w:val="24"/>
          <w:szCs w:val="24"/>
        </w:rPr>
        <w:t xml:space="preserve"> (</w:t>
      </w:r>
      <w:r w:rsidRPr="007B4934">
        <w:rPr>
          <w:rFonts w:ascii="Times New Roman" w:eastAsia="+mn-ea" w:hAnsi="Times New Roman" w:cs="Times New Roman"/>
          <w:b/>
          <w:bCs/>
          <w:kern w:val="24"/>
          <w:sz w:val="24"/>
          <w:szCs w:val="24"/>
        </w:rPr>
        <w:t>Tenet 9.3)</w:t>
      </w:r>
    </w:p>
    <w:p w:rsidR="002C5320" w:rsidRPr="00FF24FE" w:rsidRDefault="002C5320" w:rsidP="002C5320">
      <w:pPr>
        <w:numPr>
          <w:ilvl w:val="0"/>
          <w:numId w:val="2"/>
        </w:numPr>
        <w:shd w:val="clear" w:color="auto" w:fill="FFFFFF"/>
        <w:spacing w:before="100" w:beforeAutospacing="1" w:after="100" w:afterAutospacing="1" w:line="360" w:lineRule="auto"/>
        <w:ind w:left="495"/>
        <w:rPr>
          <w:rFonts w:ascii="Times New Roman" w:eastAsia="Times New Roman" w:hAnsi="Times New Roman" w:cs="Times New Roman"/>
          <w:sz w:val="24"/>
          <w:szCs w:val="24"/>
        </w:rPr>
      </w:pPr>
      <w:r w:rsidRPr="00FF24FE">
        <w:rPr>
          <w:rFonts w:ascii="Times New Roman" w:eastAsia="Times New Roman" w:hAnsi="Times New Roman" w:cs="Times New Roman"/>
          <w:sz w:val="24"/>
          <w:szCs w:val="24"/>
        </w:rPr>
        <w:t xml:space="preserve">Give an example of how the tenet might be applied in your practice setting. </w:t>
      </w:r>
    </w:p>
    <w:p w:rsidR="002C5320" w:rsidRPr="00FF24FE" w:rsidRDefault="002C5320" w:rsidP="002C5320">
      <w:pPr>
        <w:numPr>
          <w:ilvl w:val="0"/>
          <w:numId w:val="2"/>
        </w:numPr>
        <w:shd w:val="clear" w:color="auto" w:fill="FFFFFF"/>
        <w:spacing w:before="100" w:beforeAutospacing="1" w:after="100" w:afterAutospacing="1" w:line="360" w:lineRule="auto"/>
        <w:ind w:left="495"/>
        <w:rPr>
          <w:rFonts w:ascii="Times New Roman" w:eastAsia="Times New Roman" w:hAnsi="Times New Roman" w:cs="Times New Roman"/>
          <w:sz w:val="24"/>
          <w:szCs w:val="24"/>
        </w:rPr>
      </w:pPr>
      <w:r w:rsidRPr="00FF24FE">
        <w:rPr>
          <w:rFonts w:ascii="Times New Roman" w:eastAsia="Times New Roman" w:hAnsi="Times New Roman" w:cs="Times New Roman"/>
          <w:sz w:val="24"/>
          <w:szCs w:val="24"/>
        </w:rPr>
        <w:t xml:space="preserve">Explain the ways in which the tenet is supported by any or all of the theories you reviewed in week one. </w:t>
      </w:r>
    </w:p>
    <w:p w:rsidR="002C5320" w:rsidRPr="00FF24FE" w:rsidRDefault="002C5320" w:rsidP="002C5320">
      <w:pPr>
        <w:numPr>
          <w:ilvl w:val="0"/>
          <w:numId w:val="2"/>
        </w:numPr>
        <w:shd w:val="clear" w:color="auto" w:fill="FFFFFF"/>
        <w:spacing w:before="100" w:beforeAutospacing="1" w:after="100" w:afterAutospacing="1" w:line="360" w:lineRule="auto"/>
        <w:ind w:left="495"/>
        <w:rPr>
          <w:rFonts w:ascii="Times New Roman" w:eastAsia="Times New Roman" w:hAnsi="Times New Roman" w:cs="Times New Roman"/>
          <w:sz w:val="24"/>
          <w:szCs w:val="24"/>
        </w:rPr>
      </w:pPr>
      <w:r w:rsidRPr="00FF24FE">
        <w:rPr>
          <w:rFonts w:ascii="Times New Roman" w:eastAsia="Times New Roman" w:hAnsi="Times New Roman" w:cs="Times New Roman"/>
          <w:sz w:val="24"/>
          <w:szCs w:val="24"/>
        </w:rPr>
        <w:t>Explain how the tenet is compatible with any of the ethical theories</w:t>
      </w:r>
      <w:r w:rsidRPr="007B4934">
        <w:rPr>
          <w:rFonts w:ascii="Times New Roman" w:eastAsia="Times New Roman" w:hAnsi="Times New Roman" w:cs="Times New Roman"/>
          <w:sz w:val="24"/>
          <w:szCs w:val="24"/>
        </w:rPr>
        <w:t xml:space="preserve"> (</w:t>
      </w:r>
      <w:r w:rsidRPr="007B4934">
        <w:rPr>
          <w:rFonts w:ascii="Times New Roman" w:hAnsi="Times New Roman" w:cs="Times New Roman"/>
          <w:sz w:val="24"/>
          <w:szCs w:val="24"/>
        </w:rPr>
        <w:t>theories of deontology and teleology)</w:t>
      </w:r>
    </w:p>
    <w:p w:rsidR="002C5320" w:rsidRDefault="002C5320" w:rsidP="002C5320">
      <w:pPr>
        <w:numPr>
          <w:ilvl w:val="0"/>
          <w:numId w:val="2"/>
        </w:numPr>
        <w:shd w:val="clear" w:color="auto" w:fill="FFFFFF"/>
        <w:spacing w:before="100" w:beforeAutospacing="1" w:after="100" w:afterAutospacing="1" w:line="360" w:lineRule="auto"/>
        <w:ind w:left="495"/>
        <w:rPr>
          <w:rFonts w:ascii="Times New Roman" w:eastAsia="Times New Roman" w:hAnsi="Times New Roman" w:cs="Times New Roman"/>
          <w:sz w:val="24"/>
          <w:szCs w:val="24"/>
        </w:rPr>
      </w:pPr>
      <w:r w:rsidRPr="00FF24FE">
        <w:rPr>
          <w:rFonts w:ascii="Times New Roman" w:eastAsia="Times New Roman" w:hAnsi="Times New Roman" w:cs="Times New Roman"/>
          <w:sz w:val="24"/>
          <w:szCs w:val="24"/>
        </w:rPr>
        <w:t xml:space="preserve">Explain why, in light of these theories, the meaning or usefulness of the tenet may be more apparent to you now. Alternatively, does it still seem congruent with your practice? </w:t>
      </w:r>
    </w:p>
    <w:p w:rsidR="002C5320" w:rsidRDefault="002C5320" w:rsidP="002C5320">
      <w:pPr>
        <w:pStyle w:val="ListParagraph"/>
        <w:numPr>
          <w:ilvl w:val="0"/>
          <w:numId w:val="2"/>
        </w:numPr>
        <w:rPr>
          <w:b/>
          <w:bCs/>
        </w:rPr>
      </w:pPr>
      <w:r w:rsidRPr="002C5320">
        <w:rPr>
          <w:b/>
          <w:bCs/>
        </w:rPr>
        <w:t>Your written assignments must follow APA 7th edition guidelines. Be sure to support your work with specific citations/sources.</w:t>
      </w:r>
    </w:p>
    <w:p w:rsidR="002C5320" w:rsidRDefault="002C5320" w:rsidP="002C5320">
      <w:pPr>
        <w:rPr>
          <w:b/>
          <w:bCs/>
        </w:rPr>
      </w:pPr>
    </w:p>
    <w:p w:rsidR="002C5320" w:rsidRPr="002C5320" w:rsidRDefault="002C5320" w:rsidP="002C5320">
      <w:pPr>
        <w:rPr>
          <w:b/>
          <w:bCs/>
        </w:rPr>
      </w:pPr>
    </w:p>
    <w:p w:rsidR="002C5320" w:rsidRPr="007B4934" w:rsidRDefault="002C5320" w:rsidP="002C5320">
      <w:pPr>
        <w:shd w:val="clear" w:color="auto" w:fill="FFFFFF"/>
        <w:spacing w:after="100" w:afterAutospacing="1" w:line="360" w:lineRule="auto"/>
        <w:rPr>
          <w:rFonts w:ascii="Times New Roman" w:eastAsia="Times New Roman" w:hAnsi="Times New Roman" w:cs="Times New Roman"/>
          <w:sz w:val="24"/>
          <w:szCs w:val="24"/>
        </w:rPr>
      </w:pPr>
    </w:p>
    <w:p w:rsidR="002C5320" w:rsidRPr="007B4934" w:rsidRDefault="002C5320" w:rsidP="002C5320">
      <w:pPr>
        <w:pStyle w:val="NormalWeb"/>
        <w:spacing w:before="0" w:beforeAutospacing="0" w:after="0" w:afterAutospacing="0" w:line="360" w:lineRule="auto"/>
      </w:pPr>
      <w:r w:rsidRPr="007B4934">
        <w:rPr>
          <w:rFonts w:eastAsia="+mn-ea"/>
          <w:b/>
          <w:bCs/>
          <w:color w:val="50514D"/>
          <w:kern w:val="24"/>
        </w:rPr>
        <w:lastRenderedPageBreak/>
        <w:t>Tenet 9.3 Integrating Social Justice</w:t>
      </w:r>
    </w:p>
    <w:p w:rsidR="002C5320" w:rsidRPr="007B4934" w:rsidRDefault="002C5320" w:rsidP="002C5320">
      <w:pPr>
        <w:pStyle w:val="NormalWeb"/>
        <w:spacing w:before="115" w:beforeAutospacing="0" w:after="0" w:afterAutospacing="0" w:line="360" w:lineRule="auto"/>
      </w:pPr>
      <w:r w:rsidRPr="007B4934">
        <w:rPr>
          <w:rFonts w:eastAsia="+mn-ea"/>
          <w:color w:val="B62721"/>
          <w:kern w:val="24"/>
        </w:rPr>
        <w:t xml:space="preserve">Vigilance to influence those in power to: </w:t>
      </w:r>
    </w:p>
    <w:p w:rsidR="002C5320" w:rsidRPr="007B4934" w:rsidRDefault="002C5320" w:rsidP="002C5320">
      <w:pPr>
        <w:pStyle w:val="ListParagraph"/>
        <w:numPr>
          <w:ilvl w:val="0"/>
          <w:numId w:val="3"/>
        </w:numPr>
        <w:spacing w:line="360" w:lineRule="auto"/>
        <w:rPr>
          <w:color w:val="C62D1D"/>
        </w:rPr>
      </w:pPr>
      <w:r w:rsidRPr="007B4934">
        <w:rPr>
          <w:rFonts w:eastAsia="+mn-ea"/>
          <w:color w:val="000000"/>
          <w:kern w:val="24"/>
        </w:rPr>
        <w:t>Improve health and health care</w:t>
      </w:r>
    </w:p>
    <w:p w:rsidR="002C5320" w:rsidRPr="007B4934" w:rsidRDefault="002C5320" w:rsidP="002C5320">
      <w:pPr>
        <w:pStyle w:val="ListParagraph"/>
        <w:numPr>
          <w:ilvl w:val="0"/>
          <w:numId w:val="3"/>
        </w:numPr>
        <w:spacing w:line="360" w:lineRule="auto"/>
        <w:rPr>
          <w:color w:val="C62D1D"/>
        </w:rPr>
      </w:pPr>
      <w:r w:rsidRPr="007B4934">
        <w:rPr>
          <w:rFonts w:eastAsia="+mn-ea"/>
          <w:color w:val="000000"/>
          <w:kern w:val="24"/>
        </w:rPr>
        <w:t>Address unjust systems and structures</w:t>
      </w:r>
    </w:p>
    <w:p w:rsidR="002C5320" w:rsidRPr="007B4934" w:rsidRDefault="002C5320" w:rsidP="002C5320">
      <w:pPr>
        <w:pStyle w:val="ListParagraph"/>
        <w:numPr>
          <w:ilvl w:val="0"/>
          <w:numId w:val="3"/>
        </w:numPr>
        <w:spacing w:line="360" w:lineRule="auto"/>
        <w:rPr>
          <w:color w:val="C62D1D"/>
        </w:rPr>
      </w:pPr>
      <w:r w:rsidRPr="007B4934">
        <w:rPr>
          <w:rFonts w:eastAsia="+mn-ea"/>
          <w:color w:val="000000"/>
          <w:kern w:val="24"/>
        </w:rPr>
        <w:t>Address underlying determinants of health</w:t>
      </w:r>
    </w:p>
    <w:p w:rsidR="002C5320" w:rsidRPr="002C5320" w:rsidRDefault="002C5320" w:rsidP="002C5320">
      <w:pPr>
        <w:pStyle w:val="ListParagraph"/>
        <w:numPr>
          <w:ilvl w:val="0"/>
          <w:numId w:val="3"/>
        </w:numPr>
        <w:spacing w:line="360" w:lineRule="auto"/>
        <w:rPr>
          <w:color w:val="C62D1D"/>
        </w:rPr>
      </w:pPr>
      <w:r w:rsidRPr="007B4934">
        <w:rPr>
          <w:rFonts w:eastAsia="+mn-ea"/>
          <w:color w:val="000000"/>
          <w:kern w:val="24"/>
        </w:rPr>
        <w:t xml:space="preserve">Redress wrongs </w:t>
      </w:r>
    </w:p>
    <w:p w:rsidR="002C5320" w:rsidRPr="002C5320" w:rsidRDefault="002C5320" w:rsidP="002C5320">
      <w:pPr>
        <w:pStyle w:val="ListParagraph"/>
        <w:spacing w:line="360" w:lineRule="auto"/>
        <w:rPr>
          <w:color w:val="C62D1D"/>
        </w:rPr>
      </w:pPr>
    </w:p>
    <w:p w:rsidR="002C5320" w:rsidRPr="002C5320" w:rsidRDefault="002C5320" w:rsidP="002C5320">
      <w:pPr>
        <w:shd w:val="clear" w:color="auto" w:fill="FFFFFF"/>
        <w:spacing w:after="100" w:afterAutospacing="1" w:line="360" w:lineRule="auto"/>
        <w:rPr>
          <w:rFonts w:ascii="Times New Roman" w:eastAsia="Times New Roman" w:hAnsi="Times New Roman" w:cs="Times New Roman"/>
          <w:b/>
          <w:bCs/>
          <w:color w:val="6D727C"/>
          <w:sz w:val="24"/>
          <w:szCs w:val="24"/>
        </w:rPr>
      </w:pPr>
      <w:r w:rsidRPr="002C5320">
        <w:rPr>
          <w:rFonts w:ascii="Times New Roman" w:eastAsia="Times New Roman" w:hAnsi="Times New Roman" w:cs="Times New Roman"/>
          <w:b/>
          <w:bCs/>
          <w:color w:val="6D727C"/>
          <w:sz w:val="24"/>
          <w:szCs w:val="24"/>
        </w:rPr>
        <w:t xml:space="preserve">References </w:t>
      </w:r>
    </w:p>
    <w:p w:rsidR="002C5320" w:rsidRPr="007B4934" w:rsidRDefault="002C5320" w:rsidP="002C5320">
      <w:pPr>
        <w:shd w:val="clear" w:color="auto" w:fill="FFFFFF"/>
        <w:spacing w:after="100" w:afterAutospacing="1" w:line="360" w:lineRule="auto"/>
        <w:rPr>
          <w:rFonts w:ascii="Times New Roman" w:eastAsia="Times New Roman" w:hAnsi="Times New Roman" w:cs="Times New Roman"/>
          <w:color w:val="6D727C"/>
          <w:sz w:val="24"/>
          <w:szCs w:val="24"/>
        </w:rPr>
      </w:pPr>
      <w:r w:rsidRPr="007B4934">
        <w:rPr>
          <w:rFonts w:ascii="Times New Roman" w:hAnsi="Times New Roman" w:cs="Times New Roman"/>
          <w:color w:val="6D727C"/>
          <w:sz w:val="24"/>
          <w:szCs w:val="24"/>
        </w:rPr>
        <w:t>American Nurses Association (2015). Code of ethics for nurses with interpretive statements. Silver Spring, MD: Nursesbooks.org Retrieved from </w:t>
      </w:r>
      <w:hyperlink r:id="rId5" w:history="1">
        <w:r w:rsidRPr="007B4934">
          <w:rPr>
            <w:rFonts w:ascii="Times New Roman" w:hAnsi="Times New Roman" w:cs="Times New Roman"/>
            <w:color w:val="0066CC"/>
            <w:sz w:val="24"/>
            <w:szCs w:val="24"/>
          </w:rPr>
          <w:t>https://www.nursingworld.org/practice-policy/nursing-excellence/ethics/code-of-ethics-for-nurses/coe-view-only/</w:t>
        </w:r>
      </w:hyperlink>
    </w:p>
    <w:p w:rsidR="002C5320" w:rsidRPr="002C5320" w:rsidRDefault="002C5320" w:rsidP="002C5320">
      <w:pPr>
        <w:shd w:val="clear" w:color="auto" w:fill="FFFFFF"/>
        <w:spacing w:after="100" w:afterAutospacing="1" w:line="360" w:lineRule="auto"/>
        <w:rPr>
          <w:rFonts w:ascii="Times New Roman" w:eastAsia="Times New Roman" w:hAnsi="Times New Roman" w:cs="Times New Roman"/>
          <w:color w:val="6D727C"/>
          <w:sz w:val="24"/>
          <w:szCs w:val="24"/>
        </w:rPr>
      </w:pPr>
      <w:r w:rsidRPr="00FF24FE">
        <w:rPr>
          <w:rFonts w:ascii="Times New Roman" w:eastAsia="Times New Roman" w:hAnsi="Times New Roman" w:cs="Times New Roman"/>
          <w:color w:val="6D727C"/>
          <w:sz w:val="24"/>
          <w:szCs w:val="24"/>
        </w:rPr>
        <w:t xml:space="preserve">Guido, G. W. (2014). </w:t>
      </w:r>
      <w:r w:rsidRPr="00FF24FE">
        <w:rPr>
          <w:rFonts w:ascii="Times New Roman" w:eastAsia="Times New Roman" w:hAnsi="Times New Roman" w:cs="Times New Roman"/>
          <w:i/>
          <w:iCs/>
          <w:color w:val="6D727C"/>
          <w:sz w:val="24"/>
          <w:szCs w:val="24"/>
        </w:rPr>
        <w:t>Legal and Ethical Issues in Nursing</w:t>
      </w:r>
      <w:r w:rsidRPr="00FF24FE">
        <w:rPr>
          <w:rFonts w:ascii="Times New Roman" w:eastAsia="Times New Roman" w:hAnsi="Times New Roman" w:cs="Times New Roman"/>
          <w:color w:val="6D727C"/>
          <w:sz w:val="24"/>
          <w:szCs w:val="24"/>
        </w:rPr>
        <w:t>. Upper Saddle River, NJ: Prentice Hall.</w:t>
      </w:r>
    </w:p>
    <w:p w:rsidR="00C57526" w:rsidRDefault="00C57526" w:rsidP="00BC51B2">
      <w:pPr>
        <w:spacing w:before="100" w:beforeAutospacing="1" w:after="100" w:afterAutospacing="1" w:line="240" w:lineRule="auto"/>
        <w:ind w:left="360"/>
        <w:rPr>
          <w:rStyle w:val="Strong"/>
          <w:rFonts w:ascii="Lato" w:hAnsi="Lato"/>
          <w:color w:val="202122"/>
          <w:spacing w:val="3"/>
          <w:sz w:val="29"/>
          <w:szCs w:val="29"/>
        </w:rPr>
      </w:pPr>
      <w:r>
        <w:rPr>
          <w:rStyle w:val="Strong"/>
          <w:rFonts w:ascii="Lato" w:hAnsi="Lato"/>
          <w:color w:val="202122"/>
          <w:spacing w:val="3"/>
          <w:sz w:val="29"/>
          <w:szCs w:val="29"/>
        </w:rPr>
        <w:t xml:space="preserve">Sources </w:t>
      </w:r>
    </w:p>
    <w:p w:rsidR="00C57526" w:rsidRDefault="00B27878" w:rsidP="00BC51B2">
      <w:pPr>
        <w:spacing w:before="100" w:beforeAutospacing="1" w:after="100" w:afterAutospacing="1" w:line="240" w:lineRule="auto"/>
        <w:ind w:left="360"/>
        <w:rPr>
          <w:rFonts w:ascii="Times New Roman" w:eastAsia="Times New Roman" w:hAnsi="Times New Roman" w:cs="Times New Roman"/>
          <w:color w:val="202122"/>
          <w:spacing w:val="3"/>
          <w:sz w:val="24"/>
          <w:szCs w:val="24"/>
        </w:rPr>
      </w:pPr>
      <w:hyperlink r:id="rId6" w:history="1">
        <w:r w:rsidR="00C57526" w:rsidRPr="0035051D">
          <w:rPr>
            <w:rStyle w:val="Hyperlink"/>
            <w:rFonts w:ascii="Times New Roman" w:eastAsia="Times New Roman" w:hAnsi="Times New Roman" w:cs="Times New Roman"/>
            <w:spacing w:val="3"/>
            <w:sz w:val="24"/>
            <w:szCs w:val="24"/>
          </w:rPr>
          <w:t>https://www.nursingworld.org/practice-policy/scope-of-practice/</w:t>
        </w:r>
      </w:hyperlink>
    </w:p>
    <w:p w:rsidR="00C200E6" w:rsidRDefault="00B27878" w:rsidP="00BC51B2">
      <w:pPr>
        <w:spacing w:before="100" w:beforeAutospacing="1" w:after="100" w:afterAutospacing="1" w:line="240" w:lineRule="auto"/>
        <w:ind w:left="360"/>
        <w:rPr>
          <w:rFonts w:ascii="Times New Roman" w:eastAsia="Times New Roman" w:hAnsi="Times New Roman" w:cs="Times New Roman"/>
          <w:color w:val="202122"/>
          <w:spacing w:val="3"/>
          <w:sz w:val="24"/>
          <w:szCs w:val="24"/>
        </w:rPr>
      </w:pPr>
      <w:hyperlink r:id="rId7" w:history="1">
        <w:r w:rsidR="00C200E6" w:rsidRPr="0035051D">
          <w:rPr>
            <w:rStyle w:val="Hyperlink"/>
            <w:rFonts w:ascii="Times New Roman" w:eastAsia="Times New Roman" w:hAnsi="Times New Roman" w:cs="Times New Roman"/>
            <w:spacing w:val="3"/>
            <w:sz w:val="24"/>
            <w:szCs w:val="24"/>
          </w:rPr>
          <w:t>https://www.nursingworld.org/coe-view-only</w:t>
        </w:r>
      </w:hyperlink>
    </w:p>
    <w:p w:rsidR="00C57526" w:rsidRPr="008903BE" w:rsidRDefault="00C57526" w:rsidP="00BC51B2">
      <w:pPr>
        <w:spacing w:before="100" w:beforeAutospacing="1" w:after="100" w:afterAutospacing="1" w:line="240" w:lineRule="auto"/>
        <w:ind w:left="360"/>
        <w:rPr>
          <w:rFonts w:ascii="Times New Roman" w:eastAsia="Times New Roman" w:hAnsi="Times New Roman" w:cs="Times New Roman"/>
          <w:color w:val="202122"/>
          <w:spacing w:val="3"/>
          <w:sz w:val="24"/>
          <w:szCs w:val="24"/>
        </w:rPr>
      </w:pPr>
    </w:p>
    <w:p w:rsidR="00192FA0" w:rsidRPr="00303CD9" w:rsidRDefault="00002DAB">
      <w:pPr>
        <w:rPr>
          <w:rFonts w:ascii="Times New Roman" w:hAnsi="Times New Roman" w:cs="Times New Roman"/>
          <w:b/>
          <w:bCs/>
          <w:sz w:val="24"/>
          <w:szCs w:val="24"/>
        </w:rPr>
      </w:pPr>
      <w:r w:rsidRPr="00303CD9">
        <w:rPr>
          <w:rFonts w:ascii="Times New Roman" w:hAnsi="Times New Roman" w:cs="Times New Roman"/>
          <w:b/>
          <w:bCs/>
          <w:sz w:val="24"/>
          <w:szCs w:val="24"/>
          <w:highlight w:val="yellow"/>
        </w:rPr>
        <w:t>Here’s a sample of work</w:t>
      </w:r>
    </w:p>
    <w:p w:rsidR="00303CD9" w:rsidRPr="00303CD9" w:rsidRDefault="00303CD9" w:rsidP="00303CD9">
      <w:pPr>
        <w:jc w:val="center"/>
        <w:rPr>
          <w:rFonts w:ascii="Times New Roman" w:hAnsi="Times New Roman" w:cs="Times New Roman"/>
          <w:b/>
          <w:bCs/>
          <w:sz w:val="24"/>
          <w:szCs w:val="24"/>
        </w:rPr>
      </w:pPr>
      <w:r w:rsidRPr="00303CD9">
        <w:rPr>
          <w:rFonts w:ascii="Times New Roman" w:hAnsi="Times New Roman" w:cs="Times New Roman"/>
          <w:b/>
          <w:bCs/>
          <w:sz w:val="24"/>
          <w:szCs w:val="24"/>
        </w:rPr>
        <w:t>Integrating Social Justice</w:t>
      </w:r>
    </w:p>
    <w:p w:rsidR="00303CD9" w:rsidRPr="00303CD9" w:rsidRDefault="00303CD9" w:rsidP="00303CD9">
      <w:pPr>
        <w:ind w:firstLine="720"/>
        <w:rPr>
          <w:rFonts w:ascii="Times New Roman" w:hAnsi="Times New Roman" w:cs="Times New Roman"/>
          <w:sz w:val="24"/>
          <w:szCs w:val="24"/>
        </w:rPr>
      </w:pPr>
      <w:r w:rsidRPr="00303CD9">
        <w:rPr>
          <w:rFonts w:ascii="Times New Roman" w:hAnsi="Times New Roman" w:cs="Times New Roman"/>
          <w:sz w:val="24"/>
          <w:szCs w:val="24"/>
        </w:rPr>
        <w:t>The code of ethics for nurses is set up to ensure that nurses and other related health professionals not only behave professionally but also provide the best health and humane care to their patients (Guido, 2014). This code of ethics comprises various tenets that define and categorize the ethical principles and expected standards. Such tenets termed as provisions in the moral code for nurses, each of which deals with a particular aspect of patient care and general conduct of nurses. Of these tenets, the most challenging, particularly in the course of this study has been the tenet on Integrating Social Justice.</w:t>
      </w:r>
    </w:p>
    <w:p w:rsidR="00303CD9" w:rsidRPr="00303CD9" w:rsidRDefault="00303CD9" w:rsidP="00303CD9">
      <w:pPr>
        <w:rPr>
          <w:rFonts w:ascii="Times New Roman" w:hAnsi="Times New Roman" w:cs="Times New Roman"/>
          <w:b/>
          <w:bCs/>
          <w:sz w:val="24"/>
          <w:szCs w:val="24"/>
        </w:rPr>
      </w:pPr>
      <w:r w:rsidRPr="00303CD9">
        <w:rPr>
          <w:rFonts w:ascii="Times New Roman" w:hAnsi="Times New Roman" w:cs="Times New Roman"/>
          <w:b/>
          <w:bCs/>
          <w:sz w:val="24"/>
          <w:szCs w:val="24"/>
        </w:rPr>
        <w:t>Integrating Social Justice as a Tenet</w:t>
      </w:r>
    </w:p>
    <w:p w:rsidR="00303CD9" w:rsidRPr="00303CD9" w:rsidRDefault="00303CD9" w:rsidP="00303CD9">
      <w:pPr>
        <w:ind w:firstLine="720"/>
        <w:rPr>
          <w:rFonts w:ascii="Times New Roman" w:hAnsi="Times New Roman" w:cs="Times New Roman"/>
          <w:b/>
          <w:bCs/>
          <w:sz w:val="24"/>
          <w:szCs w:val="24"/>
        </w:rPr>
      </w:pPr>
      <w:r w:rsidRPr="00303CD9">
        <w:rPr>
          <w:rFonts w:ascii="Times New Roman" w:hAnsi="Times New Roman" w:cs="Times New Roman"/>
          <w:sz w:val="24"/>
          <w:szCs w:val="24"/>
        </w:rPr>
        <w:t xml:space="preserve">Integrating Social Justice as a tenet of the ethical code for nurses comprises many aspects. However, the core drive of this tenet is for nurses to be involved in shaping healthcare. </w:t>
      </w:r>
      <w:r w:rsidRPr="00303CD9">
        <w:rPr>
          <w:rFonts w:ascii="Times New Roman" w:hAnsi="Times New Roman" w:cs="Times New Roman"/>
          <w:sz w:val="24"/>
          <w:szCs w:val="24"/>
        </w:rPr>
        <w:lastRenderedPageBreak/>
        <w:t>Nurses are, as par this tenet, seek to influence leaders both within and without the healthcare sector to take actions and make changes in the health sector (American Nurses Association, 2015). These changes look to addressing the inequalities and injustices in healthcare. The differing quality of healthcare available to different groups, the educational standards for nurses, the access to and affordability to healthcare as well as the unjust structures set within healthcare. All these and many more represent the difficulties and challenges under this tenet.</w:t>
      </w:r>
    </w:p>
    <w:p w:rsidR="00303CD9" w:rsidRPr="00303CD9" w:rsidRDefault="00303CD9" w:rsidP="00303CD9">
      <w:pPr>
        <w:rPr>
          <w:rFonts w:ascii="Times New Roman" w:hAnsi="Times New Roman" w:cs="Times New Roman"/>
          <w:b/>
          <w:bCs/>
          <w:sz w:val="24"/>
          <w:szCs w:val="24"/>
        </w:rPr>
      </w:pPr>
      <w:r w:rsidRPr="00303CD9">
        <w:rPr>
          <w:rFonts w:ascii="Times New Roman" w:hAnsi="Times New Roman" w:cs="Times New Roman"/>
          <w:b/>
          <w:bCs/>
          <w:sz w:val="24"/>
          <w:szCs w:val="24"/>
        </w:rPr>
        <w:t>Challenges with Integrating Social Justice</w:t>
      </w:r>
    </w:p>
    <w:p w:rsidR="00303CD9" w:rsidRPr="00303CD9" w:rsidRDefault="00303CD9" w:rsidP="00303CD9">
      <w:pPr>
        <w:ind w:firstLine="720"/>
        <w:rPr>
          <w:rFonts w:ascii="Times New Roman" w:hAnsi="Times New Roman" w:cs="Times New Roman"/>
          <w:sz w:val="24"/>
          <w:szCs w:val="24"/>
        </w:rPr>
      </w:pPr>
      <w:r w:rsidRPr="00303CD9">
        <w:rPr>
          <w:rFonts w:ascii="Times New Roman" w:hAnsi="Times New Roman" w:cs="Times New Roman"/>
          <w:sz w:val="24"/>
          <w:szCs w:val="24"/>
        </w:rPr>
        <w:t>However, even with a clear view of the injustices existing and the evident inequalities, how do nurses undertake to influence change and integrate social justice in their practice. This challenge makes this particular tenet so unclear and challenging to support and implement. Apart from delivering healthcare, can nurses take up a stance on injustices in healthcare? How will such a position take shape? Will it be through political leadership, professional bodies and organizations or NGO’s? What changes can they effect if the same ineffectual system guarantees their jobs and sets the rules? Can nurses go against the same standards of practice, however, unjust they are? These are but some of the questions that come to mind in the phase of integrating social injustice in healthcare for nurses. It is these questions that make it both challenging and highly unclear as a tenet. These challenges set in place doubts regarding how to implement the principle on integrating social justice as well as the effectiveness of any such implementation.</w:t>
      </w:r>
    </w:p>
    <w:p w:rsidR="00303CD9" w:rsidRPr="00303CD9" w:rsidRDefault="00303CD9" w:rsidP="00303CD9">
      <w:pPr>
        <w:rPr>
          <w:rFonts w:ascii="Times New Roman" w:hAnsi="Times New Roman" w:cs="Times New Roman"/>
          <w:b/>
          <w:bCs/>
          <w:sz w:val="24"/>
          <w:szCs w:val="24"/>
        </w:rPr>
      </w:pPr>
      <w:r w:rsidRPr="00303CD9">
        <w:rPr>
          <w:rFonts w:ascii="Times New Roman" w:hAnsi="Times New Roman" w:cs="Times New Roman"/>
          <w:b/>
          <w:bCs/>
          <w:sz w:val="24"/>
          <w:szCs w:val="24"/>
        </w:rPr>
        <w:t xml:space="preserve">How to Implement Integration of Social Injustice </w:t>
      </w:r>
    </w:p>
    <w:p w:rsidR="00303CD9" w:rsidRPr="00303CD9" w:rsidRDefault="00303CD9" w:rsidP="00303CD9">
      <w:pPr>
        <w:ind w:firstLine="720"/>
        <w:rPr>
          <w:rFonts w:ascii="Times New Roman" w:hAnsi="Times New Roman" w:cs="Times New Roman"/>
          <w:sz w:val="24"/>
          <w:szCs w:val="24"/>
        </w:rPr>
      </w:pPr>
      <w:r w:rsidRPr="00303CD9">
        <w:rPr>
          <w:rFonts w:ascii="Times New Roman" w:hAnsi="Times New Roman" w:cs="Times New Roman"/>
          <w:sz w:val="24"/>
          <w:szCs w:val="24"/>
        </w:rPr>
        <w:t>Integrating Social Injustice, however, can still be implemented. As an example, the tenet can be applied in practice to effect changes within a small community or institution. These changes aim at addressing the areas in which regular healthcare practice had failed. This application of the integration of social justice can be through peer education programs for local nurses and healthcare drives and workshops to get feedback from the community on unjust healthcare practices.</w:t>
      </w:r>
    </w:p>
    <w:p w:rsidR="00303CD9" w:rsidRPr="00303CD9" w:rsidRDefault="00303CD9" w:rsidP="00303CD9">
      <w:pPr>
        <w:ind w:firstLine="720"/>
        <w:rPr>
          <w:rFonts w:ascii="Times New Roman" w:hAnsi="Times New Roman" w:cs="Times New Roman"/>
          <w:sz w:val="24"/>
          <w:szCs w:val="24"/>
        </w:rPr>
      </w:pPr>
      <w:r w:rsidRPr="00303CD9">
        <w:rPr>
          <w:rFonts w:ascii="Times New Roman" w:hAnsi="Times New Roman" w:cs="Times New Roman"/>
          <w:sz w:val="24"/>
          <w:szCs w:val="24"/>
        </w:rPr>
        <w:t>Additionally, nursing bodies within the local hospital can effect changes to their standards of practice to promote fairness and justice. Nursing bodies can also, through legal representation, push for local health and political leaders to address social injustice in healthcare. Extending such legal representation to patients and nurses seeking redress for wrongs they have suffered can also be done.</w:t>
      </w:r>
    </w:p>
    <w:p w:rsidR="00303CD9" w:rsidRPr="00303CD9" w:rsidRDefault="00303CD9" w:rsidP="00303CD9">
      <w:pPr>
        <w:rPr>
          <w:rFonts w:ascii="Times New Roman" w:hAnsi="Times New Roman" w:cs="Times New Roman"/>
          <w:b/>
          <w:bCs/>
          <w:sz w:val="24"/>
          <w:szCs w:val="24"/>
        </w:rPr>
      </w:pPr>
      <w:r w:rsidRPr="00303CD9">
        <w:rPr>
          <w:rFonts w:ascii="Times New Roman" w:hAnsi="Times New Roman" w:cs="Times New Roman"/>
          <w:b/>
          <w:bCs/>
          <w:sz w:val="24"/>
          <w:szCs w:val="24"/>
        </w:rPr>
        <w:t>Ethical Theories Supporting Integration of Social Justice</w:t>
      </w:r>
    </w:p>
    <w:p w:rsidR="00303CD9" w:rsidRPr="00303CD9" w:rsidRDefault="00303CD9" w:rsidP="00303CD9">
      <w:pPr>
        <w:ind w:firstLine="720"/>
        <w:rPr>
          <w:rFonts w:ascii="Times New Roman" w:hAnsi="Times New Roman" w:cs="Times New Roman"/>
          <w:sz w:val="24"/>
          <w:szCs w:val="24"/>
        </w:rPr>
      </w:pPr>
      <w:r w:rsidRPr="00303CD9">
        <w:rPr>
          <w:rFonts w:ascii="Times New Roman" w:hAnsi="Times New Roman" w:cs="Times New Roman"/>
          <w:sz w:val="24"/>
          <w:szCs w:val="24"/>
        </w:rPr>
        <w:t xml:space="preserve">Integrating social justice is supported by both the deontology and teleology theories as a tenet. Under deontology, an act is considered right or wrong based on preset rules and determinations regarding that action (McCombs School of Business, 2019). Therefore, a move to support social justice can be seen as right when in line with the rules. Since integrating social justice is set under one of the nine provisions for nursing ethics, and is considered a right action. Teleology, on the other hand, considers the consequence of a deed in determining if its right or wrong (SOAS, 2019). This theory similarly supports the integration of social justice as a tenet </w:t>
      </w:r>
      <w:r w:rsidRPr="00303CD9">
        <w:rPr>
          <w:rFonts w:ascii="Times New Roman" w:hAnsi="Times New Roman" w:cs="Times New Roman"/>
          <w:sz w:val="24"/>
          <w:szCs w:val="24"/>
        </w:rPr>
        <w:lastRenderedPageBreak/>
        <w:t xml:space="preserve">since the goal and results of implementing it is a fair and more equitable society that serves all. This result or consequence is good, and therefore the actions to implement the tenet are right. </w:t>
      </w:r>
    </w:p>
    <w:p w:rsidR="00303CD9" w:rsidRPr="00303CD9" w:rsidRDefault="00303CD9" w:rsidP="00303CD9">
      <w:pPr>
        <w:rPr>
          <w:rFonts w:ascii="Times New Roman" w:hAnsi="Times New Roman" w:cs="Times New Roman"/>
          <w:b/>
          <w:bCs/>
          <w:sz w:val="24"/>
          <w:szCs w:val="24"/>
        </w:rPr>
      </w:pPr>
      <w:r w:rsidRPr="00303CD9">
        <w:rPr>
          <w:rFonts w:ascii="Times New Roman" w:hAnsi="Times New Roman" w:cs="Times New Roman"/>
          <w:b/>
          <w:bCs/>
          <w:sz w:val="24"/>
          <w:szCs w:val="24"/>
        </w:rPr>
        <w:t>Compatibility with Ethical Theories</w:t>
      </w:r>
    </w:p>
    <w:p w:rsidR="00303CD9" w:rsidRPr="00303CD9" w:rsidRDefault="00303CD9" w:rsidP="00303CD9">
      <w:pPr>
        <w:ind w:firstLine="720"/>
        <w:rPr>
          <w:rFonts w:ascii="Times New Roman" w:hAnsi="Times New Roman" w:cs="Times New Roman"/>
          <w:sz w:val="24"/>
          <w:szCs w:val="24"/>
        </w:rPr>
      </w:pPr>
      <w:r w:rsidRPr="00303CD9">
        <w:rPr>
          <w:rFonts w:ascii="Times New Roman" w:hAnsi="Times New Roman" w:cs="Times New Roman"/>
          <w:sz w:val="24"/>
          <w:szCs w:val="24"/>
        </w:rPr>
        <w:t xml:space="preserve">The theories of deontology and teleology determine the goodness or badness of an action. Such determinations are crucial in judging the right action to take in integrating social justice. Whether a deed follows the rules as is the case in deontology or its resulting consequence as is the case in teleology can determine social justice. If an action such as disciplinary action against a nurse is in line with rules on fairness and equality, then it is right within the context of integrating social justice as judged under deontology. If an action such as educating the community on social justice achieves the said social justice, then it is right as par teleology. Therefore, such determinations as made through teleology and deontology make them crucial in effecting the tenet on integrating social justice, and therefore compatible with it. </w:t>
      </w:r>
    </w:p>
    <w:p w:rsidR="00303CD9" w:rsidRPr="00303CD9" w:rsidRDefault="00303CD9" w:rsidP="00303CD9">
      <w:pPr>
        <w:jc w:val="center"/>
        <w:rPr>
          <w:rFonts w:ascii="Times New Roman" w:hAnsi="Times New Roman" w:cs="Times New Roman"/>
          <w:b/>
          <w:bCs/>
          <w:sz w:val="24"/>
          <w:szCs w:val="24"/>
        </w:rPr>
      </w:pPr>
      <w:r w:rsidRPr="00303CD9">
        <w:rPr>
          <w:rFonts w:ascii="Times New Roman" w:hAnsi="Times New Roman" w:cs="Times New Roman"/>
          <w:b/>
          <w:bCs/>
          <w:sz w:val="24"/>
          <w:szCs w:val="24"/>
        </w:rPr>
        <w:t>Conclusion</w:t>
      </w:r>
    </w:p>
    <w:p w:rsidR="00303CD9" w:rsidRPr="00303CD9" w:rsidRDefault="00303CD9" w:rsidP="00303CD9">
      <w:pPr>
        <w:ind w:firstLine="720"/>
        <w:rPr>
          <w:rFonts w:ascii="Times New Roman" w:hAnsi="Times New Roman" w:cs="Times New Roman"/>
          <w:sz w:val="24"/>
          <w:szCs w:val="24"/>
        </w:rPr>
      </w:pPr>
      <w:r w:rsidRPr="00303CD9">
        <w:rPr>
          <w:rFonts w:ascii="Times New Roman" w:hAnsi="Times New Roman" w:cs="Times New Roman"/>
          <w:sz w:val="24"/>
          <w:szCs w:val="24"/>
        </w:rPr>
        <w:t>In light of these theories, integrating social justice does seem more evident, and its usefulness more apparent. Understanding that the theories make it more explicit on how the tent can be applied. The questions raised regarding how it is to be used, the effectiveness of implementing it and judgments regarding what is fair and just. By judging the consequences of rules and changes made to address inequality, we can determine if they did indeed solve injustices. Similarly, by determining whether cations taken to integrate social justice, such as legal action and provision of specialized care are in line with the rules on fairness and justice, we can determine if they are good or bad.</w:t>
      </w:r>
    </w:p>
    <w:p w:rsidR="00303CD9" w:rsidRDefault="00303CD9">
      <w:pPr>
        <w:rPr>
          <w:rFonts w:ascii="Times New Roman" w:hAnsi="Times New Roman" w:cs="Times New Roman"/>
          <w:b/>
          <w:bCs/>
          <w:sz w:val="24"/>
          <w:szCs w:val="24"/>
        </w:rPr>
      </w:pPr>
    </w:p>
    <w:p w:rsidR="002C5320" w:rsidRPr="00303CD9" w:rsidRDefault="002C5320">
      <w:pPr>
        <w:rPr>
          <w:rFonts w:ascii="Times New Roman" w:hAnsi="Times New Roman" w:cs="Times New Roman"/>
          <w:b/>
          <w:bCs/>
          <w:sz w:val="24"/>
          <w:szCs w:val="24"/>
        </w:rPr>
      </w:pPr>
    </w:p>
    <w:sectPr w:rsidR="002C5320" w:rsidRPr="00303CD9" w:rsidSect="00B278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Lato">
    <w:altName w:val="Arial"/>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423EA"/>
    <w:multiLevelType w:val="multilevel"/>
    <w:tmpl w:val="1F0C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5A8614B"/>
    <w:multiLevelType w:val="hybridMultilevel"/>
    <w:tmpl w:val="9DDA2D5E"/>
    <w:lvl w:ilvl="0" w:tplc="C1A44ABE">
      <w:start w:val="1"/>
      <w:numFmt w:val="bullet"/>
      <w:lvlText w:val=""/>
      <w:lvlJc w:val="left"/>
      <w:pPr>
        <w:tabs>
          <w:tab w:val="num" w:pos="720"/>
        </w:tabs>
        <w:ind w:left="720" w:hanging="360"/>
      </w:pPr>
      <w:rPr>
        <w:rFonts w:ascii="Wingdings" w:hAnsi="Wingdings" w:hint="default"/>
      </w:rPr>
    </w:lvl>
    <w:lvl w:ilvl="1" w:tplc="C85886B6" w:tentative="1">
      <w:start w:val="1"/>
      <w:numFmt w:val="bullet"/>
      <w:lvlText w:val=""/>
      <w:lvlJc w:val="left"/>
      <w:pPr>
        <w:tabs>
          <w:tab w:val="num" w:pos="1440"/>
        </w:tabs>
        <w:ind w:left="1440" w:hanging="360"/>
      </w:pPr>
      <w:rPr>
        <w:rFonts w:ascii="Wingdings" w:hAnsi="Wingdings" w:hint="default"/>
      </w:rPr>
    </w:lvl>
    <w:lvl w:ilvl="2" w:tplc="7242B7AC" w:tentative="1">
      <w:start w:val="1"/>
      <w:numFmt w:val="bullet"/>
      <w:lvlText w:val=""/>
      <w:lvlJc w:val="left"/>
      <w:pPr>
        <w:tabs>
          <w:tab w:val="num" w:pos="2160"/>
        </w:tabs>
        <w:ind w:left="2160" w:hanging="360"/>
      </w:pPr>
      <w:rPr>
        <w:rFonts w:ascii="Wingdings" w:hAnsi="Wingdings" w:hint="default"/>
      </w:rPr>
    </w:lvl>
    <w:lvl w:ilvl="3" w:tplc="D1AC522A" w:tentative="1">
      <w:start w:val="1"/>
      <w:numFmt w:val="bullet"/>
      <w:lvlText w:val=""/>
      <w:lvlJc w:val="left"/>
      <w:pPr>
        <w:tabs>
          <w:tab w:val="num" w:pos="2880"/>
        </w:tabs>
        <w:ind w:left="2880" w:hanging="360"/>
      </w:pPr>
      <w:rPr>
        <w:rFonts w:ascii="Wingdings" w:hAnsi="Wingdings" w:hint="default"/>
      </w:rPr>
    </w:lvl>
    <w:lvl w:ilvl="4" w:tplc="7FC665B8" w:tentative="1">
      <w:start w:val="1"/>
      <w:numFmt w:val="bullet"/>
      <w:lvlText w:val=""/>
      <w:lvlJc w:val="left"/>
      <w:pPr>
        <w:tabs>
          <w:tab w:val="num" w:pos="3600"/>
        </w:tabs>
        <w:ind w:left="3600" w:hanging="360"/>
      </w:pPr>
      <w:rPr>
        <w:rFonts w:ascii="Wingdings" w:hAnsi="Wingdings" w:hint="default"/>
      </w:rPr>
    </w:lvl>
    <w:lvl w:ilvl="5" w:tplc="E24ABB2C" w:tentative="1">
      <w:start w:val="1"/>
      <w:numFmt w:val="bullet"/>
      <w:lvlText w:val=""/>
      <w:lvlJc w:val="left"/>
      <w:pPr>
        <w:tabs>
          <w:tab w:val="num" w:pos="4320"/>
        </w:tabs>
        <w:ind w:left="4320" w:hanging="360"/>
      </w:pPr>
      <w:rPr>
        <w:rFonts w:ascii="Wingdings" w:hAnsi="Wingdings" w:hint="default"/>
      </w:rPr>
    </w:lvl>
    <w:lvl w:ilvl="6" w:tplc="3F8A08AC" w:tentative="1">
      <w:start w:val="1"/>
      <w:numFmt w:val="bullet"/>
      <w:lvlText w:val=""/>
      <w:lvlJc w:val="left"/>
      <w:pPr>
        <w:tabs>
          <w:tab w:val="num" w:pos="5040"/>
        </w:tabs>
        <w:ind w:left="5040" w:hanging="360"/>
      </w:pPr>
      <w:rPr>
        <w:rFonts w:ascii="Wingdings" w:hAnsi="Wingdings" w:hint="default"/>
      </w:rPr>
    </w:lvl>
    <w:lvl w:ilvl="7" w:tplc="08B8D664" w:tentative="1">
      <w:start w:val="1"/>
      <w:numFmt w:val="bullet"/>
      <w:lvlText w:val=""/>
      <w:lvlJc w:val="left"/>
      <w:pPr>
        <w:tabs>
          <w:tab w:val="num" w:pos="5760"/>
        </w:tabs>
        <w:ind w:left="5760" w:hanging="360"/>
      </w:pPr>
      <w:rPr>
        <w:rFonts w:ascii="Wingdings" w:hAnsi="Wingdings" w:hint="default"/>
      </w:rPr>
    </w:lvl>
    <w:lvl w:ilvl="8" w:tplc="79E84B6A" w:tentative="1">
      <w:start w:val="1"/>
      <w:numFmt w:val="bullet"/>
      <w:lvlText w:val=""/>
      <w:lvlJc w:val="left"/>
      <w:pPr>
        <w:tabs>
          <w:tab w:val="num" w:pos="6480"/>
        </w:tabs>
        <w:ind w:left="6480" w:hanging="360"/>
      </w:pPr>
      <w:rPr>
        <w:rFonts w:ascii="Wingdings" w:hAnsi="Wingdings" w:hint="default"/>
      </w:rPr>
    </w:lvl>
  </w:abstractNum>
  <w:abstractNum w:abstractNumId="2">
    <w:nsid w:val="5FFC20C9"/>
    <w:multiLevelType w:val="multilevel"/>
    <w:tmpl w:val="F818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03BE"/>
    <w:rsid w:val="00002DAB"/>
    <w:rsid w:val="002C5320"/>
    <w:rsid w:val="00303CD9"/>
    <w:rsid w:val="003153B1"/>
    <w:rsid w:val="00650746"/>
    <w:rsid w:val="008903BE"/>
    <w:rsid w:val="00AC6047"/>
    <w:rsid w:val="00B27878"/>
    <w:rsid w:val="00BC51B2"/>
    <w:rsid w:val="00C200E6"/>
    <w:rsid w:val="00C57526"/>
    <w:rsid w:val="00C9723D"/>
    <w:rsid w:val="00E230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03B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3BE"/>
    <w:rPr>
      <w:i/>
      <w:iCs/>
    </w:rPr>
  </w:style>
  <w:style w:type="character" w:styleId="Strong">
    <w:name w:val="Strong"/>
    <w:basedOn w:val="DefaultParagraphFont"/>
    <w:uiPriority w:val="22"/>
    <w:qFormat/>
    <w:rsid w:val="00BC51B2"/>
    <w:rPr>
      <w:b/>
      <w:bCs/>
    </w:rPr>
  </w:style>
  <w:style w:type="character" w:styleId="Hyperlink">
    <w:name w:val="Hyperlink"/>
    <w:basedOn w:val="DefaultParagraphFont"/>
    <w:uiPriority w:val="99"/>
    <w:unhideWhenUsed/>
    <w:rsid w:val="00C57526"/>
    <w:rPr>
      <w:color w:val="0563C1" w:themeColor="hyperlink"/>
      <w:u w:val="single"/>
    </w:rPr>
  </w:style>
  <w:style w:type="character" w:customStyle="1" w:styleId="UnresolvedMention">
    <w:name w:val="Unresolved Mention"/>
    <w:basedOn w:val="DefaultParagraphFont"/>
    <w:uiPriority w:val="99"/>
    <w:semiHidden/>
    <w:unhideWhenUsed/>
    <w:rsid w:val="00C57526"/>
    <w:rPr>
      <w:color w:val="605E5C"/>
      <w:shd w:val="clear" w:color="auto" w:fill="E1DFDD"/>
    </w:rPr>
  </w:style>
  <w:style w:type="paragraph" w:styleId="ListParagraph">
    <w:name w:val="List Paragraph"/>
    <w:basedOn w:val="Normal"/>
    <w:uiPriority w:val="34"/>
    <w:qFormat/>
    <w:rsid w:val="002C532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2869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ursingworld.org/coe-view-onl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ursingworld.org/practice-policy/scope-of-practice/" TargetMode="External"/><Relationship Id="rId5" Type="http://schemas.openxmlformats.org/officeDocument/2006/relationships/hyperlink" Target="https://www.nursingworld.org/practice-policy/nursing-excellence/ethics/code-of-ethics-for-nurses/coe-view-onl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dc:creator>
  <cp:lastModifiedBy>Windows User</cp:lastModifiedBy>
  <cp:revision>2</cp:revision>
  <dcterms:created xsi:type="dcterms:W3CDTF">2023-04-06T14:02:00Z</dcterms:created>
  <dcterms:modified xsi:type="dcterms:W3CDTF">2023-04-06T14:02:00Z</dcterms:modified>
</cp:coreProperties>
</file>