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17E1" w:rsidRDefault="00B117E1" w:rsidP="005E16BB">
      <w:pPr>
        <w:pStyle w:val="NormalWeb"/>
        <w:shd w:val="clear" w:color="auto" w:fill="FFFFFF"/>
        <w:spacing w:before="0" w:beforeAutospacing="0" w:after="0" w:afterAutospacing="0"/>
        <w:jc w:val="center"/>
        <w:rPr>
          <w:rFonts w:ascii="Arial" w:hAnsi="Arial" w:cs="Arial"/>
          <w:b/>
          <w:bCs/>
          <w:color w:val="000000"/>
        </w:rPr>
      </w:pPr>
    </w:p>
    <w:p w:rsidR="005E16BB" w:rsidRPr="005E16BB" w:rsidRDefault="00FA10AC" w:rsidP="005E16BB">
      <w:pPr>
        <w:pStyle w:val="NormalWeb"/>
        <w:shd w:val="clear" w:color="auto" w:fill="FFFFFF"/>
        <w:spacing w:before="0" w:beforeAutospacing="0" w:after="0" w:afterAutospacing="0"/>
        <w:jc w:val="center"/>
        <w:rPr>
          <w:rStyle w:val="Strong"/>
          <w:rFonts w:ascii="Arial" w:hAnsi="Arial" w:cs="Arial"/>
          <w:b w:val="0"/>
          <w:bCs w:val="0"/>
          <w:color w:val="000000"/>
          <w:sz w:val="27"/>
          <w:szCs w:val="27"/>
          <w:bdr w:val="none" w:sz="0" w:space="0" w:color="auto" w:frame="1"/>
        </w:rPr>
      </w:pPr>
      <w:r w:rsidRPr="00FA10AC">
        <w:rPr>
          <w:rFonts w:ascii="Arial" w:hAnsi="Arial" w:cs="Arial"/>
          <w:b/>
          <w:bCs/>
          <w:color w:val="000000"/>
          <w:highlight w:val="yellow"/>
        </w:rPr>
        <w:t xml:space="preserve">Part One </w:t>
      </w:r>
      <w:r w:rsidR="005E16BB" w:rsidRPr="005E16BB">
        <w:rPr>
          <w:rFonts w:ascii="Arial" w:hAnsi="Arial" w:cs="Arial"/>
          <w:b/>
          <w:bCs/>
          <w:color w:val="000000"/>
          <w:highlight w:val="yellow"/>
        </w:rPr>
        <w:t>Leadership Strategies for Change</w:t>
      </w:r>
    </w:p>
    <w:p w:rsidR="005E16BB" w:rsidRDefault="005E16BB" w:rsidP="005E16BB">
      <w:pPr>
        <w:pStyle w:val="NormalWeb"/>
        <w:shd w:val="clear" w:color="auto" w:fill="FFFFFF"/>
        <w:spacing w:before="0" w:beforeAutospacing="0" w:after="0" w:afterAutospacing="0"/>
        <w:rPr>
          <w:rStyle w:val="Strong"/>
          <w:rFonts w:ascii="Arial" w:hAnsi="Arial" w:cs="Arial"/>
          <w:color w:val="000000"/>
          <w:sz w:val="27"/>
          <w:szCs w:val="27"/>
          <w:bdr w:val="none" w:sz="0" w:space="0" w:color="auto" w:frame="1"/>
        </w:rPr>
      </w:pPr>
    </w:p>
    <w:p w:rsidR="005E16BB" w:rsidRPr="00FA10AC" w:rsidRDefault="005E16BB" w:rsidP="005E16BB">
      <w:pPr>
        <w:pStyle w:val="NormalWeb"/>
        <w:shd w:val="clear" w:color="auto" w:fill="FFFFFF"/>
        <w:spacing w:before="0" w:beforeAutospacing="0" w:after="0" w:afterAutospacing="0"/>
        <w:rPr>
          <w:color w:val="000000"/>
          <w:sz w:val="22"/>
          <w:szCs w:val="22"/>
          <w:bdr w:val="none" w:sz="0" w:space="0" w:color="auto" w:frame="1"/>
        </w:rPr>
      </w:pPr>
      <w:r w:rsidRPr="00FA10AC">
        <w:rPr>
          <w:color w:val="000000"/>
          <w:sz w:val="22"/>
          <w:szCs w:val="22"/>
          <w:bdr w:val="none" w:sz="0" w:space="0" w:color="auto" w:frame="1"/>
        </w:rPr>
        <w:t>From the textbook, On Change Management, read “Leading Change: Why Transformation Efforts Fail” then contemplate a professional situation you have experienced where an effort for organizational change failed. Briefly summarize the change effort then identify at least two of the eight reasons for failure you feel contributed to the failure in your example. What could have been done differently to make the change effort more successful? How would better communication have improved the outcome? Be sure your example pertains to organizational (not personal) change.</w:t>
      </w:r>
    </w:p>
    <w:p w:rsidR="00AF02E4" w:rsidRDefault="00AF02E4" w:rsidP="005E16BB">
      <w:pPr>
        <w:pStyle w:val="NormalWeb"/>
        <w:shd w:val="clear" w:color="auto" w:fill="FFFFFF"/>
        <w:spacing w:before="0" w:beforeAutospacing="0" w:after="0" w:afterAutospacing="0"/>
        <w:rPr>
          <w:rFonts w:ascii="Arial" w:hAnsi="Arial" w:cs="Arial"/>
          <w:color w:val="000000"/>
          <w:sz w:val="27"/>
          <w:szCs w:val="27"/>
          <w:bdr w:val="none" w:sz="0" w:space="0" w:color="auto" w:frame="1"/>
        </w:rPr>
      </w:pPr>
    </w:p>
    <w:p w:rsidR="00AF02E4" w:rsidRPr="00AF02E4" w:rsidRDefault="00AF02E4" w:rsidP="00AF02E4">
      <w:pPr>
        <w:pStyle w:val="NormalWeb"/>
        <w:shd w:val="clear" w:color="auto" w:fill="FFFFFF"/>
        <w:spacing w:after="0"/>
        <w:jc w:val="center"/>
        <w:rPr>
          <w:b/>
          <w:bCs/>
          <w:color w:val="000000"/>
          <w:sz w:val="27"/>
          <w:szCs w:val="27"/>
          <w:bdr w:val="none" w:sz="0" w:space="0" w:color="auto" w:frame="1"/>
        </w:rPr>
      </w:pPr>
      <w:r w:rsidRPr="00AF02E4">
        <w:rPr>
          <w:b/>
          <w:bCs/>
          <w:color w:val="000000"/>
          <w:sz w:val="27"/>
          <w:szCs w:val="27"/>
          <w:bdr w:val="none" w:sz="0" w:space="0" w:color="auto" w:frame="1"/>
        </w:rPr>
        <w:t>Leading Change</w:t>
      </w:r>
    </w:p>
    <w:p w:rsidR="00AF02E4" w:rsidRPr="00AF02E4" w:rsidRDefault="00AF02E4" w:rsidP="00AF02E4">
      <w:pPr>
        <w:pStyle w:val="NormalWeb"/>
        <w:shd w:val="clear" w:color="auto" w:fill="FFFFFF"/>
        <w:spacing w:after="0"/>
        <w:jc w:val="center"/>
        <w:rPr>
          <w:b/>
          <w:bCs/>
          <w:color w:val="000000"/>
          <w:sz w:val="27"/>
          <w:szCs w:val="27"/>
          <w:bdr w:val="none" w:sz="0" w:space="0" w:color="auto" w:frame="1"/>
        </w:rPr>
      </w:pPr>
      <w:r w:rsidRPr="00AF02E4">
        <w:rPr>
          <w:b/>
          <w:bCs/>
          <w:color w:val="000000"/>
          <w:sz w:val="27"/>
          <w:szCs w:val="27"/>
          <w:bdr w:val="none" w:sz="0" w:space="0" w:color="auto" w:frame="1"/>
        </w:rPr>
        <w:t>Why Transformation Efforts Fail. by John P. Kotter</w:t>
      </w:r>
    </w:p>
    <w:p w:rsidR="00AF02E4" w:rsidRPr="00AF02E4" w:rsidRDefault="00AF02E4" w:rsidP="00AF02E4">
      <w:pPr>
        <w:pStyle w:val="NormalWeb"/>
        <w:shd w:val="clear" w:color="auto" w:fill="FFFFFF"/>
        <w:spacing w:after="0"/>
        <w:rPr>
          <w:color w:val="000000"/>
          <w:sz w:val="20"/>
          <w:szCs w:val="20"/>
          <w:bdr w:val="none" w:sz="0" w:space="0" w:color="auto" w:frame="1"/>
        </w:rPr>
      </w:pPr>
      <w:r w:rsidRPr="00AF02E4">
        <w:rPr>
          <w:color w:val="000000"/>
          <w:sz w:val="20"/>
          <w:szCs w:val="20"/>
          <w:bdr w:val="none" w:sz="0" w:space="0" w:color="auto" w:frame="1"/>
        </w:rPr>
        <w:t>OVER THE PAST DECADE, I have watched more than 100 companies try to remake themselves into significantly better competitors. They have included large organizations (Ford) and small ones (Landmark Communications), companies based in the United States (General Motors) and elsewhere (British Airways), corporations that were on their knees (Eastern Airlines), and companies that were earning good money (Bristol-Myers Squibb). These efforts have gone under many banners: total quality management, reengineering, rightsizing, restructuring, cultural change, and turnaround. But, in almost every case, the basic goal has been the same: to make fundamental changes in how business is conducted in order to help cope with a new, more challenging market environment.</w:t>
      </w:r>
    </w:p>
    <w:p w:rsidR="00AF02E4" w:rsidRPr="00AF02E4" w:rsidRDefault="00AF02E4" w:rsidP="00AF02E4">
      <w:pPr>
        <w:pStyle w:val="NormalWeb"/>
        <w:shd w:val="clear" w:color="auto" w:fill="FFFFFF"/>
        <w:spacing w:after="0"/>
        <w:rPr>
          <w:color w:val="000000"/>
          <w:sz w:val="20"/>
          <w:szCs w:val="20"/>
          <w:bdr w:val="none" w:sz="0" w:space="0" w:color="auto" w:frame="1"/>
        </w:rPr>
      </w:pPr>
      <w:r w:rsidRPr="00AF02E4">
        <w:rPr>
          <w:color w:val="000000"/>
          <w:sz w:val="20"/>
          <w:szCs w:val="20"/>
          <w:bdr w:val="none" w:sz="0" w:space="0" w:color="auto" w:frame="1"/>
        </w:rPr>
        <w:t>A few of these corporate change efforts have been very successful. A few have been utter failures. Most fall somewhere in between, with a distinct tilt toward the lower end of the scale. The lessons that can be drawn are interesting and will probably be relevant to even more organizations in the increasingly competitive business environment of the coming decade.</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The most general lesson to be learned from the more successful cases is that the change process goes through a series of phases that, in total, usually require a considerable length of time. Skipping steps creates only the illusion of speed and never produces a satisfying result. A second very general lesson is that critical mistakes in any of the phases can have a devastating impact, slowing momentum and negating hard-won gains. Perhaps because we have relatively little experience in renewing organizations, even very capable people often make at least one big error.</w:t>
      </w:r>
    </w:p>
    <w:p w:rsidR="00AF02E4" w:rsidRPr="002E600C" w:rsidRDefault="00AF02E4" w:rsidP="002E600C">
      <w:pPr>
        <w:pStyle w:val="NormalWeb"/>
        <w:shd w:val="clear" w:color="auto" w:fill="FFFFFF"/>
        <w:spacing w:after="0"/>
        <w:jc w:val="center"/>
        <w:rPr>
          <w:rFonts w:ascii="Arial" w:hAnsi="Arial" w:cs="Arial"/>
          <w:b/>
          <w:bCs/>
          <w:color w:val="000000"/>
          <w:sz w:val="27"/>
          <w:szCs w:val="27"/>
          <w:bdr w:val="none" w:sz="0" w:space="0" w:color="auto" w:frame="1"/>
        </w:rPr>
      </w:pPr>
      <w:r w:rsidRPr="002E600C">
        <w:rPr>
          <w:rFonts w:ascii="Arial" w:hAnsi="Arial" w:cs="Arial"/>
          <w:b/>
          <w:bCs/>
          <w:color w:val="000000"/>
          <w:sz w:val="27"/>
          <w:szCs w:val="27"/>
          <w:bdr w:val="none" w:sz="0" w:space="0" w:color="auto" w:frame="1"/>
        </w:rPr>
        <w:t>Eight steps to transforming your organization</w:t>
      </w:r>
    </w:p>
    <w:p w:rsidR="00AF02E4" w:rsidRPr="002E600C" w:rsidRDefault="00AF02E4" w:rsidP="002E600C">
      <w:pPr>
        <w:pStyle w:val="NormalWeb"/>
        <w:shd w:val="clear" w:color="auto" w:fill="FFFFFF"/>
        <w:spacing w:after="0"/>
        <w:jc w:val="center"/>
        <w:rPr>
          <w:rFonts w:ascii="Arial" w:hAnsi="Arial" w:cs="Arial"/>
          <w:b/>
          <w:bCs/>
          <w:color w:val="000000"/>
          <w:sz w:val="27"/>
          <w:szCs w:val="27"/>
          <w:bdr w:val="none" w:sz="0" w:space="0" w:color="auto" w:frame="1"/>
        </w:rPr>
      </w:pPr>
      <w:r w:rsidRPr="002E600C">
        <w:rPr>
          <w:rFonts w:ascii="Arial" w:hAnsi="Arial" w:cs="Arial"/>
          <w:b/>
          <w:bCs/>
          <w:color w:val="000000"/>
          <w:sz w:val="27"/>
          <w:szCs w:val="27"/>
          <w:bdr w:val="none" w:sz="0" w:space="0" w:color="auto" w:frame="1"/>
        </w:rPr>
        <w:t>Idea in Brief</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Most major change initiatives—whether intended to boost quality, improve culture, or reverse a corporate death spiral—generate only lukewarm results. Many fail miserably.</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Why? Kotter maintains that too many managers don’t realize transformation is a process, not an event. It advances through stages that build on each other. And it takes years. Pressured to accelerate the process, managers skip stages. But shortcuts never work.</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Equally troubling, even highly capable managers make critical mistakes—such as declaring victory too soon. Result? Loss of momentum, reversal of hard-won gains, and devastation of the entire transformation effort.</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lastRenderedPageBreak/>
        <w:t>By understanding the stages of change—and the pitfalls unique to each stage—you boost your chances of a successful transformation. The payoff? Your organization flexes with tectonic shifts in competitors, markets, and technologies—leaving rivals far behind.</w:t>
      </w:r>
    </w:p>
    <w:p w:rsidR="00AF02E4" w:rsidRPr="002E600C" w:rsidRDefault="00AF02E4" w:rsidP="00AF02E4">
      <w:pPr>
        <w:pStyle w:val="NormalWeb"/>
        <w:shd w:val="clear" w:color="auto" w:fill="FFFFFF"/>
        <w:spacing w:after="0"/>
        <w:rPr>
          <w:b/>
          <w:bCs/>
          <w:color w:val="000000"/>
          <w:sz w:val="20"/>
          <w:szCs w:val="20"/>
          <w:bdr w:val="none" w:sz="0" w:space="0" w:color="auto" w:frame="1"/>
        </w:rPr>
      </w:pPr>
      <w:r w:rsidRPr="002E600C">
        <w:rPr>
          <w:b/>
          <w:bCs/>
          <w:color w:val="000000"/>
          <w:sz w:val="20"/>
          <w:szCs w:val="20"/>
          <w:bdr w:val="none" w:sz="0" w:space="0" w:color="auto" w:frame="1"/>
        </w:rPr>
        <w:t>Error 1: Not Establishing a Great Enough Sense of Urgency</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Most successful change efforts begin when some individuals or some groups start to look hard at a company’s competitive situation, market position, technological trends, and financial performance. They focus on the potential revenue drop when an important patent expires, the five-year trend in declining margins in a core business, or an emerging market that everyone seems to be ignoring. They then find ways to communicate this information broadly and dramatically, especially with respect to crises, potential crises, or great opportunities that are very timely. This first step is essential because just getting a transformation program started requires the aggressive cooperation of many individuals. Without motivation, people won’t help, and the effort goes nowhere.</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Compared with other steps in the change process, phase one can sound easy. It is not. Well over 50% of the companies I have watched fail in this first phase. What are the reasons for that failure? Sometimes executives underestimate how hard it can be to drive people out of their comfort zones. Sometimes they grossly overestimate how successful they have already been in increasing urgency. Sometimes they lack patience: “Enough with the preliminaries; let’s get on with it.” In many cases, executives become paralyzed by the downside possibilities. They worry that employees with seniority will become defensive, that morale will drop, that events will spin out of control, that short-term business results will be jeopardized, that the stock will sink, and that they will be blamed for creating a crisis.</w:t>
      </w:r>
    </w:p>
    <w:p w:rsidR="00AF02E4" w:rsidRPr="002E600C" w:rsidRDefault="00AF02E4" w:rsidP="00AF02E4">
      <w:pPr>
        <w:pStyle w:val="NormalWeb"/>
        <w:shd w:val="clear" w:color="auto" w:fill="FFFFFF"/>
        <w:spacing w:after="0"/>
        <w:rPr>
          <w:b/>
          <w:bCs/>
          <w:color w:val="000000"/>
          <w:sz w:val="20"/>
          <w:szCs w:val="20"/>
          <w:bdr w:val="none" w:sz="0" w:space="0" w:color="auto" w:frame="1"/>
        </w:rPr>
      </w:pPr>
      <w:r w:rsidRPr="002E600C">
        <w:rPr>
          <w:b/>
          <w:bCs/>
          <w:color w:val="000000"/>
          <w:sz w:val="20"/>
          <w:szCs w:val="20"/>
          <w:bdr w:val="none" w:sz="0" w:space="0" w:color="auto" w:frame="1"/>
        </w:rPr>
        <w:t>Idea in Practice</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To give your transformation effort the best chance of succeeding, take the right actions at each stage—and avoid common pitfalls</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A paralyzed senior management often comes from having too many managers and not enough leaders. Management’s mandate is to minimize risk and to keep the current system operating. Change, by definition, requires creating a new system, which in turn always demands leadership. Phase one in a renewal process typically goes nowhere until enough real leaders are promoted or hired into senior-level jobs.</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Transformations often begin, and begin well, when an organization has a new head who is a good leader and who sees the need for a major change. If the renewal target is the entire company, the CEO is key. If change is needed in a division, the division general manager is key. When these individuals are not new leaders, great leaders, or change champions, phase one can be a huge challenge.</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Bad business results are both a blessing and a curse in the first phase. On the positive side, losing money does catch people’s attention. But it also gives less maneuvering room. With good business results, the opposite is true: Convincing people of the need for change is much harder, but you have more resources to help make changes.</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But whether the starting point is good performance or bad, in the more successful cases I have witnessed, an individual or a group always facilitates a frank discussion of potentially unpleasant facts about new competition, shrinking margins, decreasing market share, flat earnings, a lack of revenue growth, or other relevant indices of a declining competitive position. Because there seems to be an almost universal human tendency to shoot the bearer of bad news, especially if the head of the organization is not a change champion, executives in these companies often rely on outsiders to bring unwanted information. Wall Street analysts, customers, and consultants can all be helpful in this regard. The purpose of all this activity, in the words of one former CEO of a large European company, is “to make the status quo seem more dangerous than launching into the unknown.”</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 xml:space="preserve">In a few of the most successful cases, a group has manufactured a crisis. One CEO deliberately engineered the largest accounting loss in the company’s history, creating huge pressures from Wall Street in the process. One division president commissioned first-ever customer satisfaction surveys, knowing full well that the results would be </w:t>
      </w:r>
      <w:r w:rsidRPr="002E600C">
        <w:rPr>
          <w:color w:val="000000"/>
          <w:sz w:val="20"/>
          <w:szCs w:val="20"/>
          <w:bdr w:val="none" w:sz="0" w:space="0" w:color="auto" w:frame="1"/>
        </w:rPr>
        <w:lastRenderedPageBreak/>
        <w:t>terrible. He then made these findings public. On the surface, such moves can look unduly risky. But there is also risk in playing it too safe: When the urgency rate is not pumped up enough, the transformation process cannot succeed, and the long-term future of the organization is put in jeopardy.</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When is the urgency rate high enough? From what I have seen, the answer is when about 75% of a company’s management is honestly convinced that business as usual is totally unacceptable. Anything less can produce very serious problems later on in the process.</w:t>
      </w:r>
    </w:p>
    <w:p w:rsidR="00AF02E4" w:rsidRPr="002E600C" w:rsidRDefault="00AF02E4" w:rsidP="00AF02E4">
      <w:pPr>
        <w:pStyle w:val="NormalWeb"/>
        <w:shd w:val="clear" w:color="auto" w:fill="FFFFFF"/>
        <w:spacing w:after="0"/>
        <w:rPr>
          <w:b/>
          <w:bCs/>
          <w:color w:val="000000"/>
          <w:sz w:val="20"/>
          <w:szCs w:val="20"/>
          <w:bdr w:val="none" w:sz="0" w:space="0" w:color="auto" w:frame="1"/>
        </w:rPr>
      </w:pPr>
      <w:r w:rsidRPr="002E600C">
        <w:rPr>
          <w:b/>
          <w:bCs/>
          <w:color w:val="000000"/>
          <w:sz w:val="20"/>
          <w:szCs w:val="20"/>
          <w:bdr w:val="none" w:sz="0" w:space="0" w:color="auto" w:frame="1"/>
        </w:rPr>
        <w:t>Error 2: Not Creating a Powerful Enough Guiding Coalition</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Major renewal programs often start with just one or two people. In cases of successful transformation efforts, the leadership coalition grows and grows over time. But whenever some minimum mass is not achieved early in the effort, nothing much worthwhile happens.</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It is often said that major change is impossible unless the head of the organization is an active supporter. What I am talking about goes far beyond that. In successful transformations, the chairman or president or division general manager, plus another five or 15 or 50 people, come together and develop a shared commitment to excellent performance through renewal. In my experience, this group never includes all of the company’s most senior executives because some people just won’t buy in, at least not at first. But in the most successful cases, the coalition is always pretty powerful—in terms of titles, information and expertise, reputations, and relationships.</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In both small and large organizations, a successful guiding team may consist of only three to five people during the first year of a renewal effort. But in big companies, the coalition needs to grow to the 20 to 50 range before much progress can be made in phase three and beyond. Senior managers always form the core of the group. But sometimes you find board members, a representative from a key customer, or even a powerful union leader.</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Because the guiding coalition includes members who are not part of senior management, it tends to operate outside of the normal hierarchy by definition. This can be awkward, but it is clearly necessary. If the existing hierarchy were working well, there would be no need for a major transformation. But since the current system is not working, reform generally demands activity outside of formal boundaries, expectations, and protocol.</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A high sense of urgency within the managerial ranks helps enormously in putting a guiding coalition together. But more is usually required. Someone needs to get these people together, help them develop a shared assessment of their company’s problems and opportunities, and create a minimum level of trust and communication. Off-site retreats, for two or three days, are one popular vehicle for accomplishing this task. I have seen many groups of five to 35 executives attend a series of these retreats over a period of months.</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Companies that fail in phase two usually underestimate the difficulties of producing change and thus the importance of a powerful guiding coalition. Sometimes they have no history of teamwork at the top and therefore undervalue the importance of this type of coalition. Sometimes they expect the team to be led by a staff executive from human resources, quality, or strategic planning instead of a key line manager. No matter how capable or dedicated the staff head, groups without strong line leadership never achieve the power that is required.</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Efforts that don’t have a powerful enough guiding coalition can make apparent progress for a while. But, sooner or later, the opposition gathers itself together and stops the change.</w:t>
      </w:r>
    </w:p>
    <w:p w:rsidR="00AF02E4" w:rsidRPr="002E600C" w:rsidRDefault="00AF02E4" w:rsidP="00AF02E4">
      <w:pPr>
        <w:pStyle w:val="NormalWeb"/>
        <w:shd w:val="clear" w:color="auto" w:fill="FFFFFF"/>
        <w:spacing w:after="0"/>
        <w:rPr>
          <w:color w:val="000000"/>
          <w:sz w:val="20"/>
          <w:szCs w:val="20"/>
          <w:bdr w:val="none" w:sz="0" w:space="0" w:color="auto" w:frame="1"/>
        </w:rPr>
      </w:pPr>
    </w:p>
    <w:p w:rsidR="00AF02E4" w:rsidRPr="002E600C" w:rsidRDefault="00AF02E4" w:rsidP="00AF02E4">
      <w:pPr>
        <w:pStyle w:val="NormalWeb"/>
        <w:shd w:val="clear" w:color="auto" w:fill="FFFFFF"/>
        <w:spacing w:after="0"/>
        <w:rPr>
          <w:b/>
          <w:bCs/>
          <w:color w:val="000000"/>
          <w:sz w:val="20"/>
          <w:szCs w:val="20"/>
          <w:bdr w:val="none" w:sz="0" w:space="0" w:color="auto" w:frame="1"/>
        </w:rPr>
      </w:pPr>
      <w:r w:rsidRPr="002E600C">
        <w:rPr>
          <w:b/>
          <w:bCs/>
          <w:color w:val="000000"/>
          <w:sz w:val="20"/>
          <w:szCs w:val="20"/>
          <w:bdr w:val="none" w:sz="0" w:space="0" w:color="auto" w:frame="1"/>
        </w:rPr>
        <w:t>Error 3: Lacking a Vision</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 xml:space="preserve">In every successful transformation effort that I have seen, the guiding coalition develops a picture of the future that is relatively easy to communicate and appeals to customers, stockholders, and employees. A vision always goes beyond the numbers that are typically found in five-year plans. A vision says something that helps clarify the </w:t>
      </w:r>
      <w:r w:rsidRPr="002E600C">
        <w:rPr>
          <w:color w:val="000000"/>
          <w:sz w:val="20"/>
          <w:szCs w:val="20"/>
          <w:bdr w:val="none" w:sz="0" w:space="0" w:color="auto" w:frame="1"/>
        </w:rPr>
        <w:lastRenderedPageBreak/>
        <w:t>direction in which an organization needs to move. Sometimes the first draft comes mostly from a single individual. It is usually a bit blurry, at least initially. But after the coalition works at it for three or five or even 12 months, something much better emerges through their tough analytical thinking and a little dreaming. Eventually, a strategy for achieving that vision is also developed.</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In one midsize European company, the first pass at a vision contained two-thirds of the basic ideas that were in the final product. The concept of global reach was in the initial version from the beginning. So was the idea of becoming preeminent in certain businesses. But one central idea in the final version—getting out of low value-added activities—came only after a series of discussions over a period of several months.</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Without a sensible vision, a transformation effort can easily dissolve into a list of confusing and incompatible projects that can take the organization in the wrong direction or nowhere at all. Without a sound vision, the reengineering project in the accounting department, the new 360-degree performance appraisal from the human resources department, the plant’s quality program, the cultural change project in the sales force will not add up in a meaningful way.</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In failed transformations, you often find plenty of plans, directives, and programs but no vision. In one case, a company gave out four-inch-thick notebooks describing its change effort. In mind-numbing detail, the books spelled out procedures, goals, methods, and deadlines. But nowhere was there a clear and compelling statement of where all this was leading. Not surprisingly, most of the employees with whom I talked were either confused or alienated. The big, thick books did not rally them together or inspire change. In fact, they probably had just the opposite effect.</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In a few of the less successful cases that I have seen, management had a sense of direction, but it was too complicated or blurry to be useful. Recently, I asked an executive in a midsize company to describe his vision and received in return a barely comprehensible 30-minute lecture. Buried in his answer were the basic elements of a sound vision. But they were buried—deeply.</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A useful rule of thumb: If you can’t communicate the vision to someone in five minutes or less and get a reaction that signifies both understanding and interest, you are not yet done with this phase of the transformation process.</w:t>
      </w:r>
    </w:p>
    <w:p w:rsidR="00AF02E4" w:rsidRPr="002E600C" w:rsidRDefault="00AF02E4" w:rsidP="00AF02E4">
      <w:pPr>
        <w:pStyle w:val="NormalWeb"/>
        <w:shd w:val="clear" w:color="auto" w:fill="FFFFFF"/>
        <w:spacing w:after="0"/>
        <w:rPr>
          <w:b/>
          <w:bCs/>
          <w:color w:val="000000"/>
          <w:sz w:val="20"/>
          <w:szCs w:val="20"/>
          <w:bdr w:val="none" w:sz="0" w:space="0" w:color="auto" w:frame="1"/>
        </w:rPr>
      </w:pPr>
      <w:r w:rsidRPr="002E600C">
        <w:rPr>
          <w:b/>
          <w:bCs/>
          <w:color w:val="000000"/>
          <w:sz w:val="20"/>
          <w:szCs w:val="20"/>
          <w:bdr w:val="none" w:sz="0" w:space="0" w:color="auto" w:frame="1"/>
        </w:rPr>
        <w:t xml:space="preserve">Error 4: </w:t>
      </w:r>
      <w:proofErr w:type="spellStart"/>
      <w:r w:rsidRPr="002E600C">
        <w:rPr>
          <w:b/>
          <w:bCs/>
          <w:color w:val="000000"/>
          <w:sz w:val="20"/>
          <w:szCs w:val="20"/>
          <w:bdr w:val="none" w:sz="0" w:space="0" w:color="auto" w:frame="1"/>
        </w:rPr>
        <w:t>Undercommunicating</w:t>
      </w:r>
      <w:proofErr w:type="spellEnd"/>
      <w:r w:rsidRPr="002E600C">
        <w:rPr>
          <w:b/>
          <w:bCs/>
          <w:color w:val="000000"/>
          <w:sz w:val="20"/>
          <w:szCs w:val="20"/>
          <w:bdr w:val="none" w:sz="0" w:space="0" w:color="auto" w:frame="1"/>
        </w:rPr>
        <w:t xml:space="preserve"> the Vision by a Factor of Ten</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I’ve seen three patterns with respect to communication, all very common. In the first, a group actually does develop a pretty good transformation vision and then proceeds to communicate it by holding a single meeting or sending out a single communication. Having used about 0.0001% of the yearly intracompany communication, the group is startled when few people seem to understand the new approach. In the second pattern, the head of the organization spends a considerable amount of time making speeches to employee groups, but most people still don’t get it (not surprising, since vision captures only 0.0005% of the total yearly communication). In the third pattern, much more effort goes into newsletters and speeches, but some very visible senior executives still behave in ways that are antithetical to the vision. The net result is that cynicism among the troops goes up, while belief in the communication goes down.</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Transformation is impossible unless hundreds or thousands of people are willing to help, often to the point of making short-term sacrifices. Employees will not make sacrifices, even if they are unhappy with the status quo, unless they believe that useful change is possible. Without credible communication, and a lot of it, the hearts and minds of the troops are never captured.</w:t>
      </w:r>
    </w:p>
    <w:p w:rsidR="00AF02E4" w:rsidRPr="002E600C" w:rsidRDefault="00AF02E4" w:rsidP="00AF02E4">
      <w:pPr>
        <w:pStyle w:val="NormalWeb"/>
        <w:shd w:val="clear" w:color="auto" w:fill="FFFFFF"/>
        <w:spacing w:after="0"/>
        <w:rPr>
          <w:color w:val="000000"/>
          <w:sz w:val="20"/>
          <w:szCs w:val="20"/>
          <w:bdr w:val="none" w:sz="0" w:space="0" w:color="auto" w:frame="1"/>
        </w:rPr>
      </w:pP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This fourth phase is particularly challenging if the short-term sacrifices include job losses. Gaining understanding and support is tough when downsizing is a part of the vision. For this reason, successful visions usually include new growth possibilities and the commitment to treat fairly anyone who is laid off.</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lastRenderedPageBreak/>
        <w:t>Executives who communicate well incorporate messages into their hour-by-hour activities. In a routine discussion about a business problem, they talk about how proposed solutions fit (or don’t fit) into the bigger picture. In a regular performance appraisal, they talk about how the employee’s behavior helps or undermines the vision. In a review of a division’s quarterly performance, they talk not only about the numbers but also about how the division’s executives are contributing to the transformation. In a routine Q&amp;A with employees at a company facility, they tie their answers back to renewal goals.</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In more successful transformation efforts, executives use all existing communication channels to broadcast the vision. They turn boring, unread company newsletters into lively articles about the vision. They take ritualistic, tedious quarterly management meetings and turn them into exciting discussions of the transformation. They throw out much of the company’s generic management education and replace it with courses that focus on business problems and the new vision. The guiding principle is simple: Use every possible channel, especially those that are being wasted on nonessential information.</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Perhaps even more important, most of the executives I have known in successful cases of major change learn to “walk the talk.” They consciously attempt to become a living symbol of the new corporate culture. This is often not easy. A 60-year-old plant manager who has spent precious little time over 40 years thinking about customers will not suddenly behave in a customer-oriented way. But I have witnessed just such a person change, and change a great deal. In that case, a high level of urgency helped. The fact that the man was a part of the guiding coalition and the vision-creation team also helped. So did all the communication, which kept reminding him of the desired behavior, and all the feedback from his peers and subordinates, which helped him see when he was not engaging in that behavior.</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Communication comes in both words and deeds, and the latter are often the most powerful form. Nothing undermines change more than behavior by important individuals that is inconsistent with their words.</w:t>
      </w:r>
    </w:p>
    <w:p w:rsidR="00AF02E4" w:rsidRPr="002E600C" w:rsidRDefault="00AF02E4" w:rsidP="00AF02E4">
      <w:pPr>
        <w:pStyle w:val="NormalWeb"/>
        <w:shd w:val="clear" w:color="auto" w:fill="FFFFFF"/>
        <w:spacing w:after="0"/>
        <w:rPr>
          <w:b/>
          <w:bCs/>
          <w:color w:val="000000"/>
          <w:sz w:val="20"/>
          <w:szCs w:val="20"/>
          <w:bdr w:val="none" w:sz="0" w:space="0" w:color="auto" w:frame="1"/>
        </w:rPr>
      </w:pPr>
      <w:r w:rsidRPr="002E600C">
        <w:rPr>
          <w:b/>
          <w:bCs/>
          <w:color w:val="000000"/>
          <w:sz w:val="20"/>
          <w:szCs w:val="20"/>
          <w:bdr w:val="none" w:sz="0" w:space="0" w:color="auto" w:frame="1"/>
        </w:rPr>
        <w:t>Error 5: Not Removing Obstacles to the New Vision</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Successful transformations begin to involve large numbers of people as the process progresses. Employees are emboldened to try new approaches, to develop new ideas, and to provide leadership. The only constraint is that the actions fit within the broad parameters of the overall vision. The more people involved, the better the outcome.</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To some degree, a guiding coalition empowers others to take action simply by successfully communicating the new direction. But communication is never sufficient by itself. Renewal also requires the removal of obstacles. Too often, an employee understands the new vision and wants to help make it happen, but an elephant appears to be blocking the path. In some cases, the elephant is in the person’s head, and the challenge is to convince the individual that no external obstacle exists. But in most cases, the blockers are very real.</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Sometimes the obstacle is the organizational structure: Narrow job categories can seriously undermine efforts to increase productivity or make it very difficult even to think about customers. Sometimes compensation or performance-appraisal systems make people choose between the new vision and their own self-interest. Perhaps worst of all are bosses who refuse to change and who make demands that are inconsistent with the overall effort.</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 xml:space="preserve">One company began its transformation process with much publicity and actually made good progress through the fourth phase. Then the change effort ground to a halt because the officer in charge of the company’s largest division was allowed to undermine most of the new initiatives. He paid lip service to the process but did not change his behavior or encourage his managers to change. He did not reward the unconventional ideas called for in the vision. He allowed human resource systems to remain intact even when they were clearly inconsistent with the new ideals. I think the officer’s motives were complex. To some degree, he did not believe the company needed major change. To some degree, he felt personally threatened by all the change. To some degree, he was afraid that he could not produce both change and the expected operating profit. But despite the fact that they backed the renewal effort, the other officers did virtually nothing to stop the one blocker. Again, the reasons were complex. The company had no history of confronting problems like this. Some people were afraid of the officer. The CEO was concerned that he </w:t>
      </w:r>
      <w:r w:rsidRPr="002E600C">
        <w:rPr>
          <w:color w:val="000000"/>
          <w:sz w:val="20"/>
          <w:szCs w:val="20"/>
          <w:bdr w:val="none" w:sz="0" w:space="0" w:color="auto" w:frame="1"/>
        </w:rPr>
        <w:lastRenderedPageBreak/>
        <w:t>might lose a talented executive. The net result was disastrous. Lower-level managers concluded that senior management had lied to them about their commitment to renewal, cynicism grew, and the whole effort collapsed.</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In the first half of a transformation, no organization has the momentum, power, or time to get rid of all obstacles. But the big ones must be confronted and removed. If the blocker is a person, it is important that he or she be treated fairly and in a way that is consistent with the new vision. Action is essential, both to empower others and to maintain the credibility of the change effort as a whole.</w:t>
      </w:r>
    </w:p>
    <w:p w:rsidR="00AF02E4" w:rsidRPr="002E600C" w:rsidRDefault="00AF02E4" w:rsidP="00AF02E4">
      <w:pPr>
        <w:pStyle w:val="NormalWeb"/>
        <w:shd w:val="clear" w:color="auto" w:fill="FFFFFF"/>
        <w:spacing w:after="0"/>
        <w:rPr>
          <w:b/>
          <w:bCs/>
          <w:color w:val="000000"/>
          <w:sz w:val="20"/>
          <w:szCs w:val="20"/>
          <w:bdr w:val="none" w:sz="0" w:space="0" w:color="auto" w:frame="1"/>
        </w:rPr>
      </w:pPr>
      <w:r w:rsidRPr="002E600C">
        <w:rPr>
          <w:b/>
          <w:bCs/>
          <w:color w:val="000000"/>
          <w:sz w:val="20"/>
          <w:szCs w:val="20"/>
          <w:bdr w:val="none" w:sz="0" w:space="0" w:color="auto" w:frame="1"/>
        </w:rPr>
        <w:t>Error 6: Not Systematically Planning for, and Creating, Short-Term Wins</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Real transformation takes time, and a renewal effort risks losing momentum if there are no short-term goals to meet and celebrate. Most people won’t go on the long march unless they see compelling evidence in 12 to 24 months that the journey is producing expected results. Without short-term wins, too many people give up or actively join the ranks of those people who have been resisting change.</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One to two years into a successful transformation effort, you find quality beginning to go up on certain indices or the decline in net income stopping. You find some successful new product introductions or an upward shift in market share. You find an impressive productivity improvement or a statistically higher customer satisfaction rating. But whatever the case, the win is unambiguous. The result is not just a judgment call that can be discounted by those opposing change.</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Creating short-term wins is different from hoping for short-term wins. The latter is passive, the former active. In a successful transformation, managers actively look for ways to obtain clear performance improvements, establish goals in the yearly planning system, achieve the objectives, and reward the people involved with recognition, promotions, and even money. For example, the guiding coalition at a U.S. manufacturing company produced a highly visible and successful new product introduction about 20 months after the start of its renewal effort. The new product was selected about six months into the effort because it met multiple criteria: It could be designed and launched in a relatively short period, it could be handled by a small team of people who were devoted to the new vision, it had upside potential, and the new product-development team could operate outside the established departmental structure without practical problems. Little was left to chance, and the win boosted the credibility of the renewal process.</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Managers often complain about being forced to produce short-term wins, but I’ve found that pressure can be a useful element in a change effort. When it becomes clear to people that major change will take a long time, urgency levels can drop. Commitments to produce short-term wins help keep the urgency level up and force detailed analytical thinking that can clarify or revise visions.</w:t>
      </w:r>
    </w:p>
    <w:p w:rsidR="00AF02E4" w:rsidRPr="002E600C" w:rsidRDefault="00AF02E4" w:rsidP="00AF02E4">
      <w:pPr>
        <w:pStyle w:val="NormalWeb"/>
        <w:shd w:val="clear" w:color="auto" w:fill="FFFFFF"/>
        <w:spacing w:after="0"/>
        <w:rPr>
          <w:b/>
          <w:bCs/>
          <w:color w:val="000000"/>
          <w:sz w:val="20"/>
          <w:szCs w:val="20"/>
          <w:bdr w:val="none" w:sz="0" w:space="0" w:color="auto" w:frame="1"/>
        </w:rPr>
      </w:pPr>
      <w:r w:rsidRPr="002E600C">
        <w:rPr>
          <w:b/>
          <w:bCs/>
          <w:color w:val="000000"/>
          <w:sz w:val="20"/>
          <w:szCs w:val="20"/>
          <w:bdr w:val="none" w:sz="0" w:space="0" w:color="auto" w:frame="1"/>
        </w:rPr>
        <w:t>Error 7: Declaring Victory Too Soon</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After a few years of hard work, managers may be tempted to declare victory with the first clear performance improvement. While celebrating a win is fine, declaring the war won can be catastrophic. Until changes sink deeply into a company’s culture, a process that can take five to ten years, new approaches are fragile and subject to regression.</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In the recent past, I have watched a dozen change efforts operate under the reengineering theme. In all but two cases, victory was declared and the expensive consultants were paid and thanked when the first major project was completed after two to three years. Within two more years, the useful changes that had been introduced slowly disappeared. In two of the ten cases, it’s hard to find any trace of the reengineering work today.</w:t>
      </w:r>
    </w:p>
    <w:p w:rsidR="00AF02E4" w:rsidRPr="002E600C" w:rsidRDefault="00AF02E4" w:rsidP="00AF02E4">
      <w:pPr>
        <w:pStyle w:val="NormalWeb"/>
        <w:shd w:val="clear" w:color="auto" w:fill="FFFFFF"/>
        <w:spacing w:after="0"/>
        <w:rPr>
          <w:color w:val="000000"/>
          <w:sz w:val="20"/>
          <w:szCs w:val="20"/>
          <w:bdr w:val="none" w:sz="0" w:space="0" w:color="auto" w:frame="1"/>
        </w:rPr>
      </w:pP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 xml:space="preserve">Over the past 20 years, I’ve seen the same sort of thing happen to huge quality projects, organizational development efforts, and more. Typically, the problems start early in the process: The urgency level is not intense enough, the </w:t>
      </w:r>
      <w:r w:rsidRPr="002E600C">
        <w:rPr>
          <w:color w:val="000000"/>
          <w:sz w:val="20"/>
          <w:szCs w:val="20"/>
          <w:bdr w:val="none" w:sz="0" w:space="0" w:color="auto" w:frame="1"/>
        </w:rPr>
        <w:lastRenderedPageBreak/>
        <w:t>guiding coalition is not powerful enough, and the vision is not clear enough. But it is the premature victory celebration that kills momentum. And then the powerful forces associated with tradition take over.</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Ironically, it is often a combination of change initiators and change resistors that creates the premature victory celebration. In their enthusiasm over a clear sign of progress, the initiators go overboard. They are then joined by resistors, who are quick to spot any opportunity to stop change. After the celebration is over, the resistors point to the victory as a sign that the war has been won and the troops should be sent home. Weary troops allow themselves to be convinced that they won. Once home, the foot soldiers are reluctant to climb back on the ships. Soon thereafter, change comes to a halt, and tradition creeps back in.</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 xml:space="preserve">Instead of declaring victory, leaders of successful efforts use the credibility afforded by short-term wins to tackle even bigger problems. They go after systems and structures that are not consistent with the transformation vision and have not been confronted before. They pay great attention to who is promoted, who is hired, and how people are developed. They include new reengineering projects that are even bigger in scope than the initial ones. They understand that renewal efforts take not months but years. In fact, in one of the most successful transformations that I have ever seen, we quantified the amount of change that occurred each year over a seven-year period. On a scale of one (low) to ten (high), year one received a two, year two a four, year three a three, year four a seven, year five </w:t>
      </w:r>
      <w:proofErr w:type="spellStart"/>
      <w:r w:rsidRPr="002E600C">
        <w:rPr>
          <w:color w:val="000000"/>
          <w:sz w:val="20"/>
          <w:szCs w:val="20"/>
          <w:bdr w:val="none" w:sz="0" w:space="0" w:color="auto" w:frame="1"/>
        </w:rPr>
        <w:t>an</w:t>
      </w:r>
      <w:proofErr w:type="spellEnd"/>
      <w:r w:rsidRPr="002E600C">
        <w:rPr>
          <w:color w:val="000000"/>
          <w:sz w:val="20"/>
          <w:szCs w:val="20"/>
          <w:bdr w:val="none" w:sz="0" w:space="0" w:color="auto" w:frame="1"/>
        </w:rPr>
        <w:t xml:space="preserve"> eight, year six a four, and year seven a two. The peak came in year five, fully 36 months after the first set of visible wins.</w:t>
      </w:r>
    </w:p>
    <w:p w:rsidR="00AF02E4" w:rsidRPr="002E600C" w:rsidRDefault="00AF02E4" w:rsidP="00AF02E4">
      <w:pPr>
        <w:pStyle w:val="NormalWeb"/>
        <w:shd w:val="clear" w:color="auto" w:fill="FFFFFF"/>
        <w:spacing w:after="0"/>
        <w:rPr>
          <w:b/>
          <w:bCs/>
          <w:color w:val="000000"/>
          <w:sz w:val="20"/>
          <w:szCs w:val="20"/>
          <w:bdr w:val="none" w:sz="0" w:space="0" w:color="auto" w:frame="1"/>
        </w:rPr>
      </w:pPr>
      <w:r w:rsidRPr="002E600C">
        <w:rPr>
          <w:b/>
          <w:bCs/>
          <w:color w:val="000000"/>
          <w:sz w:val="20"/>
          <w:szCs w:val="20"/>
          <w:bdr w:val="none" w:sz="0" w:space="0" w:color="auto" w:frame="1"/>
        </w:rPr>
        <w:t>Error 8: Not Anchoring Changes in the Corporation’s Culture</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In the final analysis, change sticks when it becomes “the way we do things around here,” when it seeps into the bloodstream of the corporate body. Until new behaviors are rooted in social norms and shared values, they are subject to degradation as soon as the pressure for change is removed.</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Two factors are particularly important in institutionalizing change in corporate culture. The first is a conscious attempt to show people how the new approaches, behaviors, and attitudes have helped improve performance. When people are left on their own to make the connections, they sometimes create very inaccurate links. For example, because results improved while charismatic Harry was boss, the troops link his mostly idiosyncratic style with those results instead of seeing how their own improved customer service and productivity were instrumental. Helping people see the right connections requires communication. Indeed, one company was relentless, and it paid off enormously. Time was spent at every major management meeting to discuss why performance was increasing. The company newspaper ran article after article showing how changes had boosted earnings.</w:t>
      </w: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The second factor is taking sufficient time to make sure that the next generation of top management really does personify the new approach. If the requirements for promotion don’t change, renewal rarely lasts. One bad succession decision at the top of an organization can undermine a decade of hard work. Poor succession decisions are possible when boards of directors are not an integral part of the renewal effort. In at least three instances I have seen, the champion for change was the retiring executive, and although his successor was not a resistor, he was not a change champion. Because the boards did not understand the transformations in any detail, they could not see that their choices were not good fits. The retiring executive in one case tried unsuccessfully to talk his board into a less seasoned candidate who better personified the transformation. In the other two cases, the CEOs did not resist the boards’ choices, because they felt the transformation could not be undone by their successors. They were wrong. Within two years, signs of renewal began to disappear at both companies.</w:t>
      </w:r>
    </w:p>
    <w:p w:rsidR="00AF02E4" w:rsidRPr="002E600C" w:rsidRDefault="00AF02E4" w:rsidP="00AF02E4">
      <w:pPr>
        <w:pStyle w:val="NormalWeb"/>
        <w:shd w:val="clear" w:color="auto" w:fill="FFFFFF"/>
        <w:spacing w:after="0"/>
        <w:rPr>
          <w:color w:val="000000"/>
          <w:sz w:val="20"/>
          <w:szCs w:val="20"/>
          <w:bdr w:val="none" w:sz="0" w:space="0" w:color="auto" w:frame="1"/>
        </w:rPr>
      </w:pP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_____________________</w:t>
      </w:r>
    </w:p>
    <w:p w:rsidR="00AF02E4" w:rsidRPr="002E600C" w:rsidRDefault="00AF02E4" w:rsidP="00AF02E4">
      <w:pPr>
        <w:pStyle w:val="NormalWeb"/>
        <w:shd w:val="clear" w:color="auto" w:fill="FFFFFF"/>
        <w:spacing w:after="0"/>
        <w:rPr>
          <w:color w:val="000000"/>
          <w:sz w:val="20"/>
          <w:szCs w:val="20"/>
          <w:bdr w:val="none" w:sz="0" w:space="0" w:color="auto" w:frame="1"/>
        </w:rPr>
      </w:pPr>
    </w:p>
    <w:p w:rsidR="00AF02E4" w:rsidRPr="002E600C" w:rsidRDefault="00AF02E4" w:rsidP="00AF02E4">
      <w:pPr>
        <w:pStyle w:val="NormalWeb"/>
        <w:shd w:val="clear" w:color="auto" w:fill="FFFFFF"/>
        <w:spacing w:after="0"/>
        <w:rPr>
          <w:color w:val="000000"/>
          <w:sz w:val="20"/>
          <w:szCs w:val="20"/>
          <w:bdr w:val="none" w:sz="0" w:space="0" w:color="auto" w:frame="1"/>
        </w:rPr>
      </w:pPr>
      <w:r w:rsidRPr="002E600C">
        <w:rPr>
          <w:color w:val="000000"/>
          <w:sz w:val="20"/>
          <w:szCs w:val="20"/>
          <w:bdr w:val="none" w:sz="0" w:space="0" w:color="auto" w:frame="1"/>
        </w:rPr>
        <w:t xml:space="preserve">There are still more mistakes that people make, but these eight are the big ones. I realize that in a short article everything is made to sound a bit too simplistic. In reality, even successful change efforts are messy and full of </w:t>
      </w:r>
      <w:r w:rsidRPr="002E600C">
        <w:rPr>
          <w:color w:val="000000"/>
          <w:sz w:val="20"/>
          <w:szCs w:val="20"/>
          <w:bdr w:val="none" w:sz="0" w:space="0" w:color="auto" w:frame="1"/>
        </w:rPr>
        <w:lastRenderedPageBreak/>
        <w:t>surprises. But just as a relatively simple vision is needed to guide people through a major change, so a vision of the change process can reduce the error rate. And fewer errors can spell the difference between success and failure.</w:t>
      </w:r>
    </w:p>
    <w:p w:rsidR="00AF02E4" w:rsidRPr="002E600C" w:rsidRDefault="00AF02E4" w:rsidP="005E16BB">
      <w:pPr>
        <w:pStyle w:val="NormalWeb"/>
        <w:shd w:val="clear" w:color="auto" w:fill="FFFFFF"/>
        <w:spacing w:before="0" w:beforeAutospacing="0" w:after="0" w:afterAutospacing="0"/>
        <w:rPr>
          <w:color w:val="000000"/>
          <w:sz w:val="20"/>
          <w:szCs w:val="20"/>
          <w:bdr w:val="none" w:sz="0" w:space="0" w:color="auto" w:frame="1"/>
        </w:rPr>
      </w:pPr>
    </w:p>
    <w:p w:rsidR="00D42940" w:rsidRPr="00FA10AC" w:rsidRDefault="00FA10AC" w:rsidP="00FA10AC">
      <w:pPr>
        <w:pStyle w:val="NormalWeb"/>
        <w:shd w:val="clear" w:color="auto" w:fill="FFFFFF"/>
        <w:spacing w:before="0" w:beforeAutospacing="0" w:after="0" w:afterAutospacing="0"/>
        <w:jc w:val="center"/>
        <w:rPr>
          <w:b/>
          <w:bCs/>
          <w:color w:val="000000"/>
          <w:sz w:val="20"/>
          <w:szCs w:val="20"/>
          <w:bdr w:val="none" w:sz="0" w:space="0" w:color="auto" w:frame="1"/>
        </w:rPr>
      </w:pPr>
      <w:r w:rsidRPr="00FA10AC">
        <w:rPr>
          <w:b/>
          <w:bCs/>
          <w:color w:val="000000"/>
          <w:sz w:val="20"/>
          <w:szCs w:val="20"/>
          <w:bdr w:val="none" w:sz="0" w:space="0" w:color="auto" w:frame="1"/>
        </w:rPr>
        <w:t>References</w:t>
      </w:r>
    </w:p>
    <w:p w:rsidR="00D42940" w:rsidRPr="002E600C" w:rsidRDefault="00D42940" w:rsidP="005E16BB">
      <w:pPr>
        <w:pStyle w:val="NormalWeb"/>
        <w:shd w:val="clear" w:color="auto" w:fill="FFFFFF"/>
        <w:spacing w:before="0" w:beforeAutospacing="0" w:after="0" w:afterAutospacing="0"/>
        <w:rPr>
          <w:color w:val="000000"/>
          <w:sz w:val="20"/>
          <w:szCs w:val="20"/>
          <w:bdr w:val="none" w:sz="0" w:space="0" w:color="auto" w:frame="1"/>
        </w:rPr>
      </w:pPr>
    </w:p>
    <w:p w:rsidR="00D42940" w:rsidRPr="002E600C" w:rsidRDefault="00D42940" w:rsidP="005E16BB">
      <w:pPr>
        <w:pStyle w:val="NormalWeb"/>
        <w:shd w:val="clear" w:color="auto" w:fill="FFFFFF"/>
        <w:spacing w:before="0" w:beforeAutospacing="0" w:after="0" w:afterAutospacing="0"/>
        <w:rPr>
          <w:color w:val="000000"/>
          <w:sz w:val="20"/>
          <w:szCs w:val="20"/>
        </w:rPr>
      </w:pPr>
      <w:r w:rsidRPr="002E600C">
        <w:rPr>
          <w:color w:val="000000"/>
          <w:sz w:val="20"/>
          <w:szCs w:val="20"/>
        </w:rPr>
        <w:t>Kotter, J. P., &amp; Cohen, D. S. (2012). The Heart of Change. Harvard Business Review Press. https://ambassadored.vitalsource.com/books/9781422187340</w:t>
      </w:r>
    </w:p>
    <w:p w:rsidR="00946850" w:rsidRPr="00747F4E" w:rsidRDefault="00A2679E">
      <w:pPr>
        <w:rPr>
          <w:rFonts w:ascii="Times New Roman" w:hAnsi="Times New Roman" w:cs="Times New Roman"/>
          <w:b/>
          <w:bCs/>
          <w:color w:val="FF0000"/>
          <w:sz w:val="24"/>
          <w:szCs w:val="24"/>
        </w:rPr>
      </w:pPr>
    </w:p>
    <w:p w:rsidR="005E16BB" w:rsidRPr="00747F4E" w:rsidRDefault="00FA10AC" w:rsidP="00FA10AC">
      <w:pPr>
        <w:spacing w:line="231" w:lineRule="atLeast"/>
        <w:jc w:val="center"/>
        <w:rPr>
          <w:rFonts w:ascii="Times New Roman" w:eastAsia="Times New Roman" w:hAnsi="Times New Roman" w:cs="Times New Roman"/>
          <w:b/>
          <w:bCs/>
          <w:color w:val="FF0000"/>
          <w:sz w:val="24"/>
          <w:szCs w:val="24"/>
          <w:highlight w:val="yellow"/>
        </w:rPr>
      </w:pPr>
      <w:r w:rsidRPr="00747F4E">
        <w:rPr>
          <w:rFonts w:ascii="Times New Roman" w:eastAsia="Times New Roman" w:hAnsi="Times New Roman" w:cs="Times New Roman"/>
          <w:b/>
          <w:bCs/>
          <w:color w:val="FF0000"/>
          <w:sz w:val="24"/>
          <w:szCs w:val="24"/>
          <w:highlight w:val="yellow"/>
        </w:rPr>
        <w:t xml:space="preserve">Part Two </w:t>
      </w:r>
      <w:r w:rsidR="005E16BB" w:rsidRPr="005E16BB">
        <w:rPr>
          <w:rFonts w:ascii="Times New Roman" w:eastAsia="Times New Roman" w:hAnsi="Times New Roman" w:cs="Times New Roman"/>
          <w:b/>
          <w:bCs/>
          <w:color w:val="FF0000"/>
          <w:sz w:val="24"/>
          <w:szCs w:val="24"/>
          <w:highlight w:val="yellow"/>
        </w:rPr>
        <w:t>Leadership Strategies for Change</w:t>
      </w:r>
    </w:p>
    <w:p w:rsidR="005E16BB" w:rsidRPr="005E16BB" w:rsidRDefault="005E16BB" w:rsidP="00FA10AC">
      <w:pPr>
        <w:spacing w:line="231" w:lineRule="atLeast"/>
        <w:jc w:val="center"/>
        <w:rPr>
          <w:rFonts w:ascii="Times New Roman" w:eastAsia="Times New Roman" w:hAnsi="Times New Roman" w:cs="Times New Roman"/>
          <w:b/>
          <w:bCs/>
          <w:sz w:val="24"/>
          <w:szCs w:val="24"/>
        </w:rPr>
      </w:pPr>
      <w:r w:rsidRPr="005E16BB">
        <w:rPr>
          <w:rFonts w:ascii="Times New Roman" w:eastAsia="Times New Roman" w:hAnsi="Times New Roman" w:cs="Times New Roman"/>
          <w:b/>
          <w:bCs/>
          <w:color w:val="FF0000"/>
          <w:sz w:val="24"/>
          <w:szCs w:val="24"/>
          <w:highlight w:val="yellow"/>
        </w:rPr>
        <w:t>– Week 1 Assignment</w:t>
      </w:r>
    </w:p>
    <w:p w:rsidR="005E16BB" w:rsidRPr="005E16BB" w:rsidRDefault="005E16BB" w:rsidP="005E16BB">
      <w:pPr>
        <w:spacing w:before="40" w:after="0" w:line="336" w:lineRule="atLeast"/>
        <w:outlineLvl w:val="1"/>
        <w:rPr>
          <w:rFonts w:ascii="Times New Roman" w:eastAsia="Times New Roman" w:hAnsi="Times New Roman" w:cs="Times New Roman"/>
          <w:b/>
          <w:bCs/>
          <w:color w:val="000000"/>
          <w:sz w:val="24"/>
          <w:szCs w:val="24"/>
        </w:rPr>
      </w:pPr>
      <w:r w:rsidRPr="005E16BB">
        <w:rPr>
          <w:rFonts w:ascii="Times New Roman" w:eastAsia="Times New Roman" w:hAnsi="Times New Roman" w:cs="Times New Roman"/>
          <w:b/>
          <w:bCs/>
          <w:color w:val="000000"/>
          <w:sz w:val="24"/>
          <w:szCs w:val="24"/>
        </w:rPr>
        <w:t>Week 1 Assignment – Set the Stage for Change</w:t>
      </w:r>
    </w:p>
    <w:p w:rsidR="00FA10AC" w:rsidRDefault="00FA10AC" w:rsidP="005E16BB">
      <w:pPr>
        <w:spacing w:line="231" w:lineRule="atLeast"/>
        <w:rPr>
          <w:rFonts w:ascii="Times New Roman" w:eastAsia="Times New Roman" w:hAnsi="Times New Roman" w:cs="Times New Roman"/>
          <w:color w:val="000000"/>
          <w:sz w:val="20"/>
          <w:szCs w:val="20"/>
        </w:rPr>
      </w:pPr>
    </w:p>
    <w:p w:rsidR="005E16BB" w:rsidRPr="005E16BB" w:rsidRDefault="005E16BB" w:rsidP="005E16BB">
      <w:pPr>
        <w:spacing w:line="231" w:lineRule="atLeast"/>
        <w:rPr>
          <w:rFonts w:ascii="Times New Roman" w:eastAsia="Times New Roman" w:hAnsi="Times New Roman" w:cs="Times New Roman"/>
          <w:color w:val="000000"/>
          <w:sz w:val="20"/>
          <w:szCs w:val="20"/>
        </w:rPr>
      </w:pPr>
      <w:r w:rsidRPr="005E16BB">
        <w:rPr>
          <w:rFonts w:ascii="Times New Roman" w:eastAsia="Times New Roman" w:hAnsi="Times New Roman" w:cs="Times New Roman"/>
          <w:color w:val="000000"/>
          <w:sz w:val="20"/>
          <w:szCs w:val="20"/>
        </w:rPr>
        <w:t>Have you ever found yourself in a situation at work or in your personal life that you wished were somehow different than it was? Did you know what steps to take to change the situation yourself? Did you know how to get the people around you all moving in the same direction, with urgency, to create the change you desired? Change is often crucial to long term success in life. Accomplishing change, however, is not always easy. Throughout the assignments in this course you will work through one specific example of the change process to help you master the steps of change.</w:t>
      </w:r>
    </w:p>
    <w:p w:rsidR="005E16BB" w:rsidRPr="005E16BB" w:rsidRDefault="005E16BB" w:rsidP="005E16BB">
      <w:pPr>
        <w:spacing w:line="231" w:lineRule="atLeast"/>
        <w:rPr>
          <w:rFonts w:ascii="Times New Roman" w:eastAsia="Times New Roman" w:hAnsi="Times New Roman" w:cs="Times New Roman"/>
          <w:color w:val="000000"/>
          <w:sz w:val="20"/>
          <w:szCs w:val="20"/>
        </w:rPr>
      </w:pPr>
      <w:r w:rsidRPr="005E16BB">
        <w:rPr>
          <w:rFonts w:ascii="Times New Roman" w:eastAsia="Times New Roman" w:hAnsi="Times New Roman" w:cs="Times New Roman"/>
          <w:b/>
          <w:bCs/>
          <w:color w:val="000000"/>
          <w:sz w:val="20"/>
          <w:szCs w:val="20"/>
        </w:rPr>
        <w:t>Specific questions or items to address:</w:t>
      </w:r>
    </w:p>
    <w:p w:rsidR="005E16BB" w:rsidRPr="005E16BB" w:rsidRDefault="005E16BB" w:rsidP="005E16BB">
      <w:pPr>
        <w:spacing w:line="231" w:lineRule="atLeast"/>
        <w:rPr>
          <w:rFonts w:ascii="Times New Roman" w:eastAsia="Times New Roman" w:hAnsi="Times New Roman" w:cs="Times New Roman"/>
          <w:color w:val="000000"/>
          <w:sz w:val="20"/>
          <w:szCs w:val="20"/>
        </w:rPr>
      </w:pPr>
      <w:r w:rsidRPr="005E16BB">
        <w:rPr>
          <w:rFonts w:ascii="Times New Roman" w:eastAsia="Times New Roman" w:hAnsi="Times New Roman" w:cs="Times New Roman"/>
          <w:color w:val="000000"/>
          <w:sz w:val="20"/>
          <w:szCs w:val="20"/>
        </w:rPr>
        <w:t>Select an organization in which you feel change is needed. The organization may be a current or previous employer, a school organization, military organization, or other group you may be a part of. Be sure you have adequate knowledge of the organization to complete the project.</w:t>
      </w:r>
    </w:p>
    <w:p w:rsidR="005E16BB" w:rsidRPr="005E16BB" w:rsidRDefault="005E16BB" w:rsidP="005E16BB">
      <w:pPr>
        <w:spacing w:line="231" w:lineRule="atLeast"/>
        <w:rPr>
          <w:rFonts w:ascii="Times New Roman" w:eastAsia="Times New Roman" w:hAnsi="Times New Roman" w:cs="Times New Roman"/>
          <w:color w:val="000000"/>
          <w:sz w:val="20"/>
          <w:szCs w:val="20"/>
        </w:rPr>
      </w:pPr>
      <w:r w:rsidRPr="005E16BB">
        <w:rPr>
          <w:rFonts w:ascii="Times New Roman" w:eastAsia="Times New Roman" w:hAnsi="Times New Roman" w:cs="Times New Roman"/>
          <w:color w:val="000000"/>
          <w:sz w:val="20"/>
          <w:szCs w:val="20"/>
        </w:rPr>
        <w:t>Throughout the course you will be studying Kotter’s 8 Steps for change. Each week you will build and expand on your final project for the course; a plan to implement change successfully. Your first goal is to identify the organization and change that is needed. Summarize the context of the organization, the change that is needed, why the change is needed, and why you feel the organization/situation is a good candidate for your final project.</w:t>
      </w:r>
    </w:p>
    <w:p w:rsidR="005E16BB" w:rsidRPr="005E16BB" w:rsidRDefault="005E16BB" w:rsidP="005E16BB">
      <w:pPr>
        <w:spacing w:line="231" w:lineRule="atLeast"/>
        <w:rPr>
          <w:rFonts w:ascii="Times New Roman" w:eastAsia="Times New Roman" w:hAnsi="Times New Roman" w:cs="Times New Roman"/>
          <w:color w:val="000000"/>
          <w:sz w:val="20"/>
          <w:szCs w:val="20"/>
        </w:rPr>
      </w:pPr>
      <w:r w:rsidRPr="005E16BB">
        <w:rPr>
          <w:rFonts w:ascii="Times New Roman" w:eastAsia="Times New Roman" w:hAnsi="Times New Roman" w:cs="Times New Roman"/>
          <w:color w:val="000000"/>
          <w:sz w:val="20"/>
          <w:szCs w:val="20"/>
        </w:rPr>
        <w:t>Be sure to include at least three scholarly references to support your assertions written in your own words. Do not copy word for word from the course text or any other sources. Your submission this week is Part 1 of the final project.</w:t>
      </w:r>
    </w:p>
    <w:p w:rsidR="005E16BB" w:rsidRPr="005E16BB" w:rsidRDefault="005E16BB" w:rsidP="005E16BB">
      <w:pPr>
        <w:spacing w:line="231" w:lineRule="atLeast"/>
        <w:rPr>
          <w:rFonts w:ascii="Times New Roman" w:eastAsia="Times New Roman" w:hAnsi="Times New Roman" w:cs="Times New Roman"/>
          <w:color w:val="000000"/>
          <w:sz w:val="20"/>
          <w:szCs w:val="20"/>
        </w:rPr>
      </w:pPr>
      <w:r w:rsidRPr="005E16BB">
        <w:rPr>
          <w:rFonts w:ascii="Times New Roman" w:eastAsia="Times New Roman" w:hAnsi="Times New Roman" w:cs="Times New Roman"/>
          <w:color w:val="000000"/>
          <w:sz w:val="20"/>
          <w:szCs w:val="20"/>
        </w:rPr>
        <w:t>The requirements below must be met for your paper to be accepted and graded:</w:t>
      </w:r>
    </w:p>
    <w:p w:rsidR="005E16BB" w:rsidRPr="005E16BB" w:rsidRDefault="005E16BB" w:rsidP="005E16BB">
      <w:pPr>
        <w:spacing w:after="0" w:line="231" w:lineRule="atLeast"/>
        <w:ind w:left="720" w:hanging="360"/>
        <w:rPr>
          <w:rFonts w:ascii="Times New Roman" w:eastAsia="Times New Roman" w:hAnsi="Times New Roman" w:cs="Times New Roman"/>
          <w:color w:val="000000"/>
          <w:sz w:val="20"/>
          <w:szCs w:val="20"/>
        </w:rPr>
      </w:pPr>
      <w:r w:rsidRPr="005E16BB">
        <w:rPr>
          <w:rFonts w:ascii="Times New Roman" w:eastAsia="Times New Roman" w:hAnsi="Times New Roman" w:cs="Times New Roman"/>
          <w:color w:val="000000"/>
          <w:sz w:val="20"/>
          <w:szCs w:val="20"/>
        </w:rPr>
        <w:t>·         Write between 1,000 – 1,500 words (approximately 4 – 6 pages) using Microsoft Word in APA style.</w:t>
      </w:r>
    </w:p>
    <w:p w:rsidR="005E16BB" w:rsidRPr="005E16BB" w:rsidRDefault="005E16BB" w:rsidP="005E16BB">
      <w:pPr>
        <w:spacing w:after="0" w:line="231" w:lineRule="atLeast"/>
        <w:ind w:left="720" w:hanging="360"/>
        <w:rPr>
          <w:rFonts w:ascii="Times New Roman" w:eastAsia="Times New Roman" w:hAnsi="Times New Roman" w:cs="Times New Roman"/>
          <w:color w:val="000000"/>
          <w:sz w:val="20"/>
          <w:szCs w:val="20"/>
        </w:rPr>
      </w:pPr>
      <w:r w:rsidRPr="005E16BB">
        <w:rPr>
          <w:rFonts w:ascii="Times New Roman" w:eastAsia="Times New Roman" w:hAnsi="Times New Roman" w:cs="Times New Roman"/>
          <w:color w:val="000000"/>
          <w:sz w:val="20"/>
          <w:szCs w:val="20"/>
        </w:rPr>
        <w:t>·         Use font size 12 and 1” margins.</w:t>
      </w:r>
    </w:p>
    <w:p w:rsidR="005E16BB" w:rsidRPr="005E16BB" w:rsidRDefault="005E16BB" w:rsidP="005E16BB">
      <w:pPr>
        <w:spacing w:after="0" w:line="231" w:lineRule="atLeast"/>
        <w:ind w:left="720" w:hanging="360"/>
        <w:rPr>
          <w:rFonts w:ascii="Arial" w:eastAsia="Times New Roman" w:hAnsi="Arial" w:cs="Arial"/>
          <w:color w:val="000000"/>
        </w:rPr>
      </w:pPr>
      <w:r w:rsidRPr="005E16BB">
        <w:rPr>
          <w:rFonts w:ascii="Symbol" w:eastAsia="Times New Roman" w:hAnsi="Symbol" w:cs="Arial"/>
          <w:color w:val="000000"/>
        </w:rPr>
        <w:t></w:t>
      </w:r>
      <w:r w:rsidRPr="005E16BB">
        <w:rPr>
          <w:rFonts w:ascii="Times New Roman" w:eastAsia="Times New Roman" w:hAnsi="Times New Roman" w:cs="Times New Roman"/>
          <w:color w:val="000000"/>
          <w:sz w:val="14"/>
          <w:szCs w:val="14"/>
        </w:rPr>
        <w:t>         </w:t>
      </w:r>
      <w:r w:rsidRPr="005E16BB">
        <w:rPr>
          <w:rFonts w:ascii="Arial" w:eastAsia="Times New Roman" w:hAnsi="Arial" w:cs="Arial"/>
          <w:color w:val="000000"/>
        </w:rPr>
        <w:t>Include cover page and reference page.</w:t>
      </w:r>
    </w:p>
    <w:p w:rsidR="005E16BB" w:rsidRPr="005E16BB" w:rsidRDefault="005E16BB" w:rsidP="005E16BB">
      <w:pPr>
        <w:spacing w:after="0" w:line="231" w:lineRule="atLeast"/>
        <w:ind w:left="720" w:hanging="360"/>
        <w:rPr>
          <w:rFonts w:ascii="Times New Roman" w:eastAsia="Times New Roman" w:hAnsi="Times New Roman" w:cs="Times New Roman"/>
          <w:color w:val="000000"/>
          <w:sz w:val="20"/>
          <w:szCs w:val="20"/>
        </w:rPr>
      </w:pPr>
      <w:r w:rsidRPr="005E16BB">
        <w:rPr>
          <w:rFonts w:ascii="Times New Roman" w:eastAsia="Times New Roman" w:hAnsi="Times New Roman" w:cs="Times New Roman"/>
          <w:color w:val="000000"/>
          <w:sz w:val="20"/>
          <w:szCs w:val="20"/>
        </w:rPr>
        <w:t>·         At least 80% of your paper must be original content/writing.</w:t>
      </w:r>
    </w:p>
    <w:p w:rsidR="005E16BB" w:rsidRPr="005E16BB" w:rsidRDefault="005E16BB" w:rsidP="005E16BB">
      <w:pPr>
        <w:spacing w:after="0" w:line="231" w:lineRule="atLeast"/>
        <w:ind w:left="720" w:hanging="360"/>
        <w:rPr>
          <w:rFonts w:ascii="Times New Roman" w:eastAsia="Times New Roman" w:hAnsi="Times New Roman" w:cs="Times New Roman"/>
          <w:color w:val="000000"/>
          <w:sz w:val="20"/>
          <w:szCs w:val="20"/>
        </w:rPr>
      </w:pPr>
      <w:r w:rsidRPr="005E16BB">
        <w:rPr>
          <w:rFonts w:ascii="Times New Roman" w:eastAsia="Times New Roman" w:hAnsi="Times New Roman" w:cs="Times New Roman"/>
          <w:color w:val="000000"/>
          <w:sz w:val="20"/>
          <w:szCs w:val="20"/>
        </w:rPr>
        <w:t>·         No more than 20% of your content/information may come from references.</w:t>
      </w:r>
    </w:p>
    <w:p w:rsidR="005E16BB" w:rsidRPr="005E16BB" w:rsidRDefault="005E16BB" w:rsidP="005E16BB">
      <w:pPr>
        <w:spacing w:after="0" w:line="231" w:lineRule="atLeast"/>
        <w:ind w:left="720" w:hanging="360"/>
        <w:rPr>
          <w:rFonts w:ascii="Times New Roman" w:eastAsia="Times New Roman" w:hAnsi="Times New Roman" w:cs="Times New Roman"/>
          <w:color w:val="000000"/>
          <w:sz w:val="20"/>
          <w:szCs w:val="20"/>
        </w:rPr>
      </w:pPr>
      <w:r w:rsidRPr="005E16BB">
        <w:rPr>
          <w:rFonts w:ascii="Times New Roman" w:eastAsia="Times New Roman" w:hAnsi="Times New Roman" w:cs="Times New Roman"/>
          <w:color w:val="000000"/>
          <w:sz w:val="20"/>
          <w:szCs w:val="20"/>
        </w:rPr>
        <w:t>·         Use an appropriate number of references to support your position, and defend your arguments. The following are examples of primary and secondary sources that may be </w:t>
      </w:r>
      <w:proofErr w:type="gramStart"/>
      <w:r w:rsidRPr="005E16BB">
        <w:rPr>
          <w:rFonts w:ascii="Times New Roman" w:eastAsia="Times New Roman" w:hAnsi="Times New Roman" w:cs="Times New Roman"/>
          <w:color w:val="000000"/>
          <w:sz w:val="20"/>
          <w:szCs w:val="20"/>
        </w:rPr>
        <w:t>used,</w:t>
      </w:r>
      <w:proofErr w:type="gramEnd"/>
      <w:r w:rsidRPr="005E16BB">
        <w:rPr>
          <w:rFonts w:ascii="Times New Roman" w:eastAsia="Times New Roman" w:hAnsi="Times New Roman" w:cs="Times New Roman"/>
          <w:color w:val="000000"/>
          <w:sz w:val="20"/>
          <w:szCs w:val="20"/>
        </w:rPr>
        <w:t> and non-credible and opinion based sources that may not be used.</w:t>
      </w:r>
    </w:p>
    <w:p w:rsidR="005E16BB" w:rsidRPr="005E16BB" w:rsidRDefault="005E16BB" w:rsidP="005E16BB">
      <w:pPr>
        <w:spacing w:after="0" w:line="231" w:lineRule="atLeast"/>
        <w:ind w:left="720" w:hanging="360"/>
        <w:rPr>
          <w:rFonts w:ascii="Times New Roman" w:eastAsia="Times New Roman" w:hAnsi="Times New Roman" w:cs="Times New Roman"/>
          <w:color w:val="000000"/>
          <w:sz w:val="20"/>
          <w:szCs w:val="20"/>
        </w:rPr>
      </w:pPr>
      <w:r w:rsidRPr="005E16BB">
        <w:rPr>
          <w:rFonts w:ascii="Times New Roman" w:eastAsia="Times New Roman" w:hAnsi="Times New Roman" w:cs="Times New Roman"/>
          <w:color w:val="000000"/>
          <w:sz w:val="20"/>
          <w:szCs w:val="20"/>
        </w:rPr>
        <w:t>·         Primary sources such as, government websites (</w:t>
      </w:r>
      <w:hyperlink r:id="rId4" w:tgtFrame="_blank" w:tooltip="http://www.bls.gov/" w:history="1">
        <w:r w:rsidRPr="005E16BB">
          <w:rPr>
            <w:rFonts w:ascii="Times New Roman" w:eastAsia="Times New Roman" w:hAnsi="Times New Roman" w:cs="Times New Roman"/>
            <w:color w:val="0563C1"/>
            <w:sz w:val="20"/>
            <w:szCs w:val="20"/>
          </w:rPr>
          <w:t>United States Department of Labor Bureau of Labor Statistics</w:t>
        </w:r>
      </w:hyperlink>
      <w:r w:rsidRPr="005E16BB">
        <w:rPr>
          <w:rFonts w:ascii="Times New Roman" w:eastAsia="Times New Roman" w:hAnsi="Times New Roman" w:cs="Times New Roman"/>
          <w:color w:val="000000"/>
          <w:sz w:val="20"/>
          <w:szCs w:val="20"/>
        </w:rPr>
        <w:t>, </w:t>
      </w:r>
      <w:hyperlink r:id="rId5" w:tgtFrame="_blank" w:tooltip="http://www.census.gov/" w:history="1">
        <w:r w:rsidRPr="005E16BB">
          <w:rPr>
            <w:rFonts w:ascii="Times New Roman" w:eastAsia="Times New Roman" w:hAnsi="Times New Roman" w:cs="Times New Roman"/>
            <w:color w:val="0563C1"/>
            <w:sz w:val="20"/>
            <w:szCs w:val="20"/>
          </w:rPr>
          <w:t>United States Census Bureau</w:t>
        </w:r>
      </w:hyperlink>
      <w:r w:rsidRPr="005E16BB">
        <w:rPr>
          <w:rFonts w:ascii="Times New Roman" w:eastAsia="Times New Roman" w:hAnsi="Times New Roman" w:cs="Times New Roman"/>
          <w:color w:val="000000"/>
          <w:sz w:val="20"/>
          <w:szCs w:val="20"/>
        </w:rPr>
        <w:t>, </w:t>
      </w:r>
      <w:hyperlink r:id="rId6" w:tgtFrame="_blank" w:tooltip="http://www.worldbank.org/" w:history="1">
        <w:r w:rsidRPr="005E16BB">
          <w:rPr>
            <w:rFonts w:ascii="Times New Roman" w:eastAsia="Times New Roman" w:hAnsi="Times New Roman" w:cs="Times New Roman"/>
            <w:color w:val="0563C1"/>
            <w:sz w:val="20"/>
            <w:szCs w:val="20"/>
          </w:rPr>
          <w:t>The World Bank</w:t>
        </w:r>
      </w:hyperlink>
      <w:r w:rsidRPr="005E16BB">
        <w:rPr>
          <w:rFonts w:ascii="Times New Roman" w:eastAsia="Times New Roman" w:hAnsi="Times New Roman" w:cs="Times New Roman"/>
          <w:color w:val="000000"/>
          <w:sz w:val="20"/>
          <w:szCs w:val="20"/>
        </w:rPr>
        <w:t>, etc.), peer reviewed and scholarly journals in EBSCOhost (Online Library) and </w:t>
      </w:r>
      <w:hyperlink r:id="rId7" w:tgtFrame="_blank" w:tooltip="https://scholar.google.com/" w:history="1">
        <w:r w:rsidRPr="005E16BB">
          <w:rPr>
            <w:rFonts w:ascii="Times New Roman" w:eastAsia="Times New Roman" w:hAnsi="Times New Roman" w:cs="Times New Roman"/>
            <w:color w:val="0563C1"/>
            <w:sz w:val="20"/>
            <w:szCs w:val="20"/>
          </w:rPr>
          <w:t>Google Scholar</w:t>
        </w:r>
      </w:hyperlink>
      <w:r w:rsidRPr="005E16BB">
        <w:rPr>
          <w:rFonts w:ascii="Times New Roman" w:eastAsia="Times New Roman" w:hAnsi="Times New Roman" w:cs="Times New Roman"/>
          <w:color w:val="000000"/>
          <w:sz w:val="20"/>
          <w:szCs w:val="20"/>
        </w:rPr>
        <w:t>.</w:t>
      </w:r>
    </w:p>
    <w:p w:rsidR="005E16BB" w:rsidRPr="005E16BB" w:rsidRDefault="005E16BB" w:rsidP="005E16BB">
      <w:pPr>
        <w:spacing w:after="0" w:line="231" w:lineRule="atLeast"/>
        <w:ind w:left="720" w:hanging="360"/>
        <w:rPr>
          <w:rFonts w:ascii="Times New Roman" w:eastAsia="Times New Roman" w:hAnsi="Times New Roman" w:cs="Times New Roman"/>
          <w:color w:val="000000"/>
          <w:sz w:val="20"/>
          <w:szCs w:val="20"/>
        </w:rPr>
      </w:pPr>
      <w:r w:rsidRPr="005E16BB">
        <w:rPr>
          <w:rFonts w:ascii="Times New Roman" w:eastAsia="Times New Roman" w:hAnsi="Times New Roman" w:cs="Times New Roman"/>
          <w:color w:val="000000"/>
          <w:sz w:val="20"/>
          <w:szCs w:val="20"/>
        </w:rPr>
        <w:t>·         Secondary and credible sources such as, </w:t>
      </w:r>
      <w:hyperlink r:id="rId8" w:tgtFrame="_blank" w:tooltip="http://money.cnn.com/" w:history="1">
        <w:r w:rsidRPr="005E16BB">
          <w:rPr>
            <w:rFonts w:ascii="Times New Roman" w:eastAsia="Times New Roman" w:hAnsi="Times New Roman" w:cs="Times New Roman"/>
            <w:color w:val="0563C1"/>
            <w:sz w:val="20"/>
            <w:szCs w:val="20"/>
          </w:rPr>
          <w:t>CNN Money</w:t>
        </w:r>
      </w:hyperlink>
      <w:r w:rsidRPr="005E16BB">
        <w:rPr>
          <w:rFonts w:ascii="Times New Roman" w:eastAsia="Times New Roman" w:hAnsi="Times New Roman" w:cs="Times New Roman"/>
          <w:color w:val="000000"/>
          <w:sz w:val="20"/>
          <w:szCs w:val="20"/>
        </w:rPr>
        <w:t>, </w:t>
      </w:r>
      <w:hyperlink r:id="rId9" w:tgtFrame="_blank" w:tooltip="http://www.wsj.com/" w:history="1">
        <w:r w:rsidRPr="005E16BB">
          <w:rPr>
            <w:rFonts w:ascii="Times New Roman" w:eastAsia="Times New Roman" w:hAnsi="Times New Roman" w:cs="Times New Roman"/>
            <w:color w:val="0563C1"/>
            <w:sz w:val="20"/>
            <w:szCs w:val="20"/>
          </w:rPr>
          <w:t>The Wall Street Journal</w:t>
        </w:r>
      </w:hyperlink>
      <w:r w:rsidRPr="005E16BB">
        <w:rPr>
          <w:rFonts w:ascii="Times New Roman" w:eastAsia="Times New Roman" w:hAnsi="Times New Roman" w:cs="Times New Roman"/>
          <w:color w:val="000000"/>
          <w:sz w:val="20"/>
          <w:szCs w:val="20"/>
        </w:rPr>
        <w:t>, trade journals, and publications in EBSCOhost (Online Library).</w:t>
      </w:r>
    </w:p>
    <w:p w:rsidR="005E16BB" w:rsidRPr="005E16BB" w:rsidRDefault="005E16BB" w:rsidP="005E16BB">
      <w:pPr>
        <w:spacing w:after="0" w:line="231" w:lineRule="atLeast"/>
        <w:ind w:left="720" w:hanging="360"/>
        <w:rPr>
          <w:rFonts w:ascii="Times New Roman" w:eastAsia="Times New Roman" w:hAnsi="Times New Roman" w:cs="Times New Roman"/>
          <w:color w:val="000000"/>
          <w:sz w:val="20"/>
          <w:szCs w:val="20"/>
        </w:rPr>
      </w:pPr>
      <w:r w:rsidRPr="005E16BB">
        <w:rPr>
          <w:rFonts w:ascii="Times New Roman" w:eastAsia="Times New Roman" w:hAnsi="Times New Roman" w:cs="Times New Roman"/>
          <w:color w:val="000000"/>
          <w:sz w:val="20"/>
          <w:szCs w:val="20"/>
        </w:rPr>
        <w:t>·         Non-credible and opinion based sources such as, Wikis, Yahoo Answers, </w:t>
      </w:r>
      <w:proofErr w:type="spellStart"/>
      <w:r w:rsidRPr="005E16BB">
        <w:rPr>
          <w:rFonts w:ascii="Times New Roman" w:eastAsia="Times New Roman" w:hAnsi="Times New Roman" w:cs="Times New Roman"/>
          <w:color w:val="000000"/>
          <w:sz w:val="20"/>
          <w:szCs w:val="20"/>
        </w:rPr>
        <w:t>eHow</w:t>
      </w:r>
      <w:proofErr w:type="spellEnd"/>
      <w:r w:rsidRPr="005E16BB">
        <w:rPr>
          <w:rFonts w:ascii="Times New Roman" w:eastAsia="Times New Roman" w:hAnsi="Times New Roman" w:cs="Times New Roman"/>
          <w:color w:val="000000"/>
          <w:sz w:val="20"/>
          <w:szCs w:val="20"/>
        </w:rPr>
        <w:t>, blogs, etc. should not be used.</w:t>
      </w:r>
    </w:p>
    <w:p w:rsidR="005E16BB" w:rsidRPr="005E16BB" w:rsidRDefault="005E16BB" w:rsidP="005E16BB">
      <w:pPr>
        <w:spacing w:line="231" w:lineRule="atLeast"/>
        <w:ind w:left="720" w:hanging="360"/>
        <w:rPr>
          <w:rFonts w:ascii="Times New Roman" w:eastAsia="Times New Roman" w:hAnsi="Times New Roman" w:cs="Times New Roman"/>
          <w:color w:val="000000"/>
          <w:sz w:val="20"/>
          <w:szCs w:val="20"/>
        </w:rPr>
      </w:pPr>
      <w:r w:rsidRPr="005E16BB">
        <w:rPr>
          <w:rFonts w:ascii="Times New Roman" w:eastAsia="Times New Roman" w:hAnsi="Times New Roman" w:cs="Times New Roman"/>
          <w:color w:val="000000"/>
          <w:sz w:val="20"/>
          <w:szCs w:val="20"/>
        </w:rPr>
        <w:lastRenderedPageBreak/>
        <w:t>·         Cite all reference material (data, dates, graphs, quotes, paraphrased words, values, etc.) in the paper and list on a reference page in APA style.</w:t>
      </w:r>
    </w:p>
    <w:p w:rsidR="005E16BB" w:rsidRPr="005E16BB" w:rsidRDefault="005E16BB" w:rsidP="005E16BB">
      <w:pPr>
        <w:spacing w:line="231" w:lineRule="atLeast"/>
        <w:rPr>
          <w:rFonts w:ascii="Times New Roman" w:eastAsia="Times New Roman" w:hAnsi="Times New Roman" w:cs="Times New Roman"/>
          <w:color w:val="000000"/>
          <w:sz w:val="20"/>
          <w:szCs w:val="20"/>
        </w:rPr>
      </w:pPr>
      <w:r w:rsidRPr="005E16BB">
        <w:rPr>
          <w:rFonts w:ascii="Times New Roman" w:eastAsia="Times New Roman" w:hAnsi="Times New Roman" w:cs="Times New Roman"/>
          <w:color w:val="000000"/>
          <w:sz w:val="20"/>
          <w:szCs w:val="20"/>
        </w:rPr>
        <w:t> </w:t>
      </w:r>
    </w:p>
    <w:p w:rsidR="005E16BB" w:rsidRPr="00FA10AC" w:rsidRDefault="005E16BB">
      <w:pPr>
        <w:rPr>
          <w:rFonts w:ascii="Times New Roman" w:hAnsi="Times New Roman" w:cs="Times New Roman"/>
          <w:sz w:val="20"/>
          <w:szCs w:val="20"/>
        </w:rPr>
      </w:pPr>
    </w:p>
    <w:sectPr w:rsidR="005E16BB" w:rsidRPr="00FA10AC" w:rsidSect="003F00A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E16BB"/>
    <w:rsid w:val="00086E8F"/>
    <w:rsid w:val="002E600C"/>
    <w:rsid w:val="003F00AE"/>
    <w:rsid w:val="005E16BB"/>
    <w:rsid w:val="00747F4E"/>
    <w:rsid w:val="00A2679E"/>
    <w:rsid w:val="00AF02E4"/>
    <w:rsid w:val="00B117E1"/>
    <w:rsid w:val="00D42940"/>
    <w:rsid w:val="00E2583E"/>
    <w:rsid w:val="00FA10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0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16B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E16BB"/>
    <w:rPr>
      <w:b/>
      <w:bCs/>
    </w:rPr>
  </w:style>
</w:styles>
</file>

<file path=word/webSettings.xml><?xml version="1.0" encoding="utf-8"?>
<w:webSettings xmlns:r="http://schemas.openxmlformats.org/officeDocument/2006/relationships" xmlns:w="http://schemas.openxmlformats.org/wordprocessingml/2006/main">
  <w:divs>
    <w:div w:id="93671327">
      <w:bodyDiv w:val="1"/>
      <w:marLeft w:val="0"/>
      <w:marRight w:val="0"/>
      <w:marTop w:val="0"/>
      <w:marBottom w:val="0"/>
      <w:divBdr>
        <w:top w:val="none" w:sz="0" w:space="0" w:color="auto"/>
        <w:left w:val="none" w:sz="0" w:space="0" w:color="auto"/>
        <w:bottom w:val="none" w:sz="0" w:space="0" w:color="auto"/>
        <w:right w:val="none" w:sz="0" w:space="0" w:color="auto"/>
      </w:divBdr>
    </w:div>
    <w:div w:id="1117871415">
      <w:bodyDiv w:val="1"/>
      <w:marLeft w:val="0"/>
      <w:marRight w:val="0"/>
      <w:marTop w:val="0"/>
      <w:marBottom w:val="0"/>
      <w:divBdr>
        <w:top w:val="none" w:sz="0" w:space="0" w:color="auto"/>
        <w:left w:val="none" w:sz="0" w:space="0" w:color="auto"/>
        <w:bottom w:val="none" w:sz="0" w:space="0" w:color="auto"/>
        <w:right w:val="none" w:sz="0" w:space="0" w:color="auto"/>
      </w:divBdr>
    </w:div>
    <w:div w:id="1285039141">
      <w:bodyDiv w:val="1"/>
      <w:marLeft w:val="0"/>
      <w:marRight w:val="0"/>
      <w:marTop w:val="0"/>
      <w:marBottom w:val="0"/>
      <w:divBdr>
        <w:top w:val="none" w:sz="0" w:space="0" w:color="auto"/>
        <w:left w:val="none" w:sz="0" w:space="0" w:color="auto"/>
        <w:bottom w:val="none" w:sz="0" w:space="0" w:color="auto"/>
        <w:right w:val="none" w:sz="0" w:space="0" w:color="auto"/>
      </w:divBdr>
      <w:divsChild>
        <w:div w:id="1989434963">
          <w:marLeft w:val="0"/>
          <w:marRight w:val="0"/>
          <w:marTop w:val="0"/>
          <w:marBottom w:val="0"/>
          <w:divBdr>
            <w:top w:val="none" w:sz="0" w:space="0" w:color="auto"/>
            <w:left w:val="none" w:sz="0" w:space="0" w:color="auto"/>
            <w:bottom w:val="none" w:sz="0" w:space="0" w:color="auto"/>
            <w:right w:val="none" w:sz="0" w:space="0" w:color="auto"/>
          </w:divBdr>
          <w:divsChild>
            <w:div w:id="1388608922">
              <w:marLeft w:val="0"/>
              <w:marRight w:val="0"/>
              <w:marTop w:val="0"/>
              <w:marBottom w:val="240"/>
              <w:divBdr>
                <w:top w:val="none" w:sz="0" w:space="0" w:color="auto"/>
                <w:left w:val="none" w:sz="0" w:space="0" w:color="auto"/>
                <w:bottom w:val="none" w:sz="0" w:space="0" w:color="auto"/>
                <w:right w:val="none" w:sz="0" w:space="0" w:color="auto"/>
              </w:divBdr>
            </w:div>
            <w:div w:id="662927616">
              <w:marLeft w:val="0"/>
              <w:marRight w:val="0"/>
              <w:marTop w:val="0"/>
              <w:marBottom w:val="240"/>
              <w:divBdr>
                <w:top w:val="none" w:sz="0" w:space="0" w:color="auto"/>
                <w:left w:val="none" w:sz="0" w:space="0" w:color="auto"/>
                <w:bottom w:val="none" w:sz="0" w:space="0" w:color="auto"/>
                <w:right w:val="none" w:sz="0" w:space="0" w:color="auto"/>
              </w:divBdr>
            </w:div>
            <w:div w:id="384331722">
              <w:marLeft w:val="0"/>
              <w:marRight w:val="0"/>
              <w:marTop w:val="0"/>
              <w:marBottom w:val="240"/>
              <w:divBdr>
                <w:top w:val="none" w:sz="0" w:space="0" w:color="auto"/>
                <w:left w:val="none" w:sz="0" w:space="0" w:color="auto"/>
                <w:bottom w:val="none" w:sz="0" w:space="0" w:color="auto"/>
                <w:right w:val="none" w:sz="0" w:space="0" w:color="auto"/>
              </w:divBdr>
            </w:div>
            <w:div w:id="1368870019">
              <w:marLeft w:val="0"/>
              <w:marRight w:val="0"/>
              <w:marTop w:val="0"/>
              <w:marBottom w:val="240"/>
              <w:divBdr>
                <w:top w:val="none" w:sz="0" w:space="0" w:color="auto"/>
                <w:left w:val="none" w:sz="0" w:space="0" w:color="auto"/>
                <w:bottom w:val="none" w:sz="0" w:space="0" w:color="auto"/>
                <w:right w:val="none" w:sz="0" w:space="0" w:color="auto"/>
              </w:divBdr>
            </w:div>
            <w:div w:id="145667388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oney.cnn.com/" TargetMode="External"/><Relationship Id="rId3" Type="http://schemas.openxmlformats.org/officeDocument/2006/relationships/webSettings" Target="webSettings.xml"/><Relationship Id="rId7" Type="http://schemas.openxmlformats.org/officeDocument/2006/relationships/hyperlink" Target="https://scholar.google.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orldbank.org/" TargetMode="External"/><Relationship Id="rId11" Type="http://schemas.openxmlformats.org/officeDocument/2006/relationships/theme" Target="theme/theme1.xml"/><Relationship Id="rId5" Type="http://schemas.openxmlformats.org/officeDocument/2006/relationships/hyperlink" Target="http://www.census.gov/" TargetMode="External"/><Relationship Id="rId10" Type="http://schemas.openxmlformats.org/officeDocument/2006/relationships/fontTable" Target="fontTable.xml"/><Relationship Id="rId4" Type="http://schemas.openxmlformats.org/officeDocument/2006/relationships/hyperlink" Target="http://www.bls.gov/" TargetMode="External"/><Relationship Id="rId9" Type="http://schemas.openxmlformats.org/officeDocument/2006/relationships/hyperlink" Target="http://www.wsj.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4879</Words>
  <Characters>27816</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Terina Edmond</dc:creator>
  <cp:lastModifiedBy>Windows User</cp:lastModifiedBy>
  <cp:revision>2</cp:revision>
  <dcterms:created xsi:type="dcterms:W3CDTF">2022-05-28T11:42:00Z</dcterms:created>
  <dcterms:modified xsi:type="dcterms:W3CDTF">2022-05-28T11:42:00Z</dcterms:modified>
</cp:coreProperties>
</file>