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2D3690" w:rsidRDefault="002D3690" w:rsidP="00751DBF">
      <w:pPr>
        <w:spacing w:line="480" w:lineRule="auto"/>
        <w:ind w:firstLine="720"/>
        <w:rPr>
          <w:rFonts w:ascii="Times New Roman" w:eastAsia="Times New Roman" w:hAnsi="Times New Roman" w:cs="Times New Roman"/>
          <w:b/>
          <w:sz w:val="24"/>
          <w:szCs w:val="24"/>
        </w:rPr>
      </w:pPr>
    </w:p>
    <w:p w14:paraId="00000002" w14:textId="77777777" w:rsidR="002D3690" w:rsidRDefault="00497EFD" w:rsidP="00751DBF">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Christine Gailey Essay</w:t>
      </w:r>
    </w:p>
    <w:p w14:paraId="00000003" w14:textId="06ABEE52" w:rsidR="002D3690" w:rsidRDefault="00497EFD" w:rsidP="00751DB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Christine Gailey’s ethnographic research, “Kinship to Kingship” explores the theory that the subordination of women arises through the formation of classes and the state. Gailey analyzed the Tongan Islands of Polynesia before and after state formation in order to support her research. By studying the gender relations between the chiefly and non-chiefly, before and after western civilization, Gailey noted huge changes in the Tongan society. Before contact the Tongan islanders did not have a gender hierarchy and there were numerous factors that affected your status in society. </w:t>
      </w:r>
      <w:r w:rsidR="00D575DF">
        <w:rPr>
          <w:rFonts w:ascii="Times New Roman" w:eastAsia="Times New Roman" w:hAnsi="Times New Roman" w:cs="Times New Roman"/>
          <w:sz w:val="24"/>
          <w:szCs w:val="24"/>
        </w:rPr>
        <w:t>Also,</w:t>
      </w:r>
      <w:r>
        <w:rPr>
          <w:rFonts w:ascii="Times New Roman" w:eastAsia="Times New Roman" w:hAnsi="Times New Roman" w:cs="Times New Roman"/>
          <w:sz w:val="24"/>
          <w:szCs w:val="24"/>
        </w:rPr>
        <w:t xml:space="preserve"> women held significance and were treated as such. After contact with the Europeans, women who once held the highest power were no longer treated as such. Christine Gailey argues that women's value is diminished in order to achieve class and state formation in a </w:t>
      </w:r>
      <w:r w:rsidR="00D575DF">
        <w:rPr>
          <w:rFonts w:ascii="Times New Roman" w:eastAsia="Times New Roman" w:hAnsi="Times New Roman" w:cs="Times New Roman"/>
          <w:sz w:val="24"/>
          <w:szCs w:val="24"/>
        </w:rPr>
        <w:t>kinship-based</w:t>
      </w:r>
      <w:r>
        <w:rPr>
          <w:rFonts w:ascii="Times New Roman" w:eastAsia="Times New Roman" w:hAnsi="Times New Roman" w:cs="Times New Roman"/>
          <w:sz w:val="24"/>
          <w:szCs w:val="24"/>
        </w:rPr>
        <w:t xml:space="preserve"> society.</w:t>
      </w:r>
    </w:p>
    <w:p w14:paraId="00000004" w14:textId="33912D5B" w:rsidR="002D3690" w:rsidRDefault="00497EFD" w:rsidP="00751DBF">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Gender Relations in Tongan Society Before Contact </w:t>
      </w:r>
    </w:p>
    <w:p w14:paraId="00000005" w14:textId="0FF69AF0" w:rsidR="002D3690" w:rsidRDefault="00497EFD" w:rsidP="00751DB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Prior to the involvement of the Europeans, it would be described as an ambiguous society due to the different inconsistencies that give different privileges. Although the estate was influenced by how close you are to your ancestors or Gods, all Tongans were ranked in accordance </w:t>
      </w:r>
      <w:r w:rsidR="00D575DF">
        <w:rPr>
          <w:rFonts w:ascii="Times New Roman" w:eastAsia="Times New Roman" w:hAnsi="Times New Roman" w:cs="Times New Roman"/>
          <w:sz w:val="24"/>
          <w:szCs w:val="24"/>
        </w:rPr>
        <w:t>with</w:t>
      </w:r>
      <w:r>
        <w:rPr>
          <w:rFonts w:ascii="Times New Roman" w:eastAsia="Times New Roman" w:hAnsi="Times New Roman" w:cs="Times New Roman"/>
          <w:sz w:val="24"/>
          <w:szCs w:val="24"/>
        </w:rPr>
        <w:t xml:space="preserve"> three inconsistent factors. As stated by Gailey, “Older was superior to younger; maleness was superior to femaleness; Sisterhood was superior to brotherhood.” But what Gailey emphasizes is that none of these were solely gender-based. </w:t>
      </w:r>
      <w:r w:rsidR="00D575DF">
        <w:rPr>
          <w:rFonts w:ascii="Times New Roman" w:eastAsia="Times New Roman" w:hAnsi="Times New Roman" w:cs="Times New Roman"/>
          <w:sz w:val="24"/>
          <w:szCs w:val="24"/>
        </w:rPr>
        <w:t>Also,</w:t>
      </w:r>
      <w:r>
        <w:rPr>
          <w:rFonts w:ascii="Times New Roman" w:eastAsia="Times New Roman" w:hAnsi="Times New Roman" w:cs="Times New Roman"/>
          <w:sz w:val="24"/>
          <w:szCs w:val="24"/>
        </w:rPr>
        <w:t xml:space="preserve"> it provided a basis when people contended for chiefly status (48). The Tongan Islands was described by Gailey as a Chiefdom. In pre-contact Tonga, their estates were determined by their chiefly and non-chiefly ranking. The Tongans were ranked internally, hereditarily and relatively. According to Gailey, “The chiefly estate consisted of higher-ranking title chiefs (hau) and their untitled lineal and col-lateral kin (‘ </w:t>
      </w:r>
      <w:r>
        <w:rPr>
          <w:rFonts w:ascii="Times New Roman" w:eastAsia="Times New Roman" w:hAnsi="Times New Roman" w:cs="Times New Roman"/>
          <w:sz w:val="24"/>
          <w:szCs w:val="24"/>
        </w:rPr>
        <w:lastRenderedPageBreak/>
        <w:t xml:space="preserve">eiki), who formed the top descent groups (the ha’a), as well as lower-ranking chiefly people (56).” The non-chiefly was embodied by, “the matapules --almost all of whom were categorically foreign-- and the conceptually indigenous, but lower-ranking tu’as. [As well as the] rather murky rank known as the mu’as </w:t>
      </w:r>
      <w:r w:rsidR="00D575DF">
        <w:rPr>
          <w:rFonts w:ascii="Times New Roman" w:eastAsia="Times New Roman" w:hAnsi="Times New Roman" w:cs="Times New Roman"/>
          <w:sz w:val="24"/>
          <w:szCs w:val="24"/>
        </w:rPr>
        <w:t>(Gailey</w:t>
      </w:r>
      <w:r>
        <w:rPr>
          <w:rFonts w:ascii="Times New Roman" w:eastAsia="Times New Roman" w:hAnsi="Times New Roman" w:cs="Times New Roman"/>
          <w:sz w:val="24"/>
          <w:szCs w:val="24"/>
        </w:rPr>
        <w:t xml:space="preserve"> 56).”  The structure provided in combination with rankings allowed chiefly women to hold a high status in this kin-based society. The strong power that women held in the Tongans would also be derived from what is called “The Fahu.”</w:t>
      </w:r>
    </w:p>
    <w:p w14:paraId="00000006" w14:textId="34BD2928" w:rsidR="002D3690" w:rsidRDefault="00497EFD" w:rsidP="00751DB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most important structure in pre-contact Tongans that was subject to change was the Fahu. Prior to European influence, Tongan women would exert authority as a sister. How the Tongans divided labor was in direct relation to the existence of the Fahu.  Chiefly women held more significant power than non-chiefly sisters and sisters outranked their brothers in the household. According to Gailey, </w:t>
      </w:r>
      <w:r w:rsidR="00D575DF">
        <w:rPr>
          <w:rFonts w:ascii="Times New Roman" w:eastAsia="Times New Roman" w:hAnsi="Times New Roman" w:cs="Times New Roman"/>
          <w:sz w:val="24"/>
          <w:szCs w:val="24"/>
        </w:rPr>
        <w:t>“Because</w:t>
      </w:r>
      <w:r>
        <w:rPr>
          <w:rFonts w:ascii="Times New Roman" w:eastAsia="Times New Roman" w:hAnsi="Times New Roman" w:cs="Times New Roman"/>
          <w:sz w:val="24"/>
          <w:szCs w:val="24"/>
        </w:rPr>
        <w:t xml:space="preserve"> the sister --especially the eldest sister-- was ranked superior to her brother, sisters; children outranked brothers’ children (60).” This means that the sister and her children are </w:t>
      </w:r>
      <w:r w:rsidR="00751DBF">
        <w:rPr>
          <w:rFonts w:ascii="Times New Roman" w:eastAsia="Times New Roman" w:hAnsi="Times New Roman" w:cs="Times New Roman"/>
          <w:sz w:val="24"/>
          <w:szCs w:val="24"/>
        </w:rPr>
        <w:t>F</w:t>
      </w:r>
      <w:r>
        <w:rPr>
          <w:rFonts w:ascii="Times New Roman" w:eastAsia="Times New Roman" w:hAnsi="Times New Roman" w:cs="Times New Roman"/>
          <w:sz w:val="24"/>
          <w:szCs w:val="24"/>
        </w:rPr>
        <w:t xml:space="preserve">ahu to her brother and his children. This allowed the sister to have claims to their brother’s goods, as well as his children. As explained by Gailey, </w:t>
      </w:r>
      <w:r w:rsidR="00D575DF">
        <w:rPr>
          <w:rFonts w:ascii="Times New Roman" w:eastAsia="Times New Roman" w:hAnsi="Times New Roman" w:cs="Times New Roman"/>
          <w:sz w:val="24"/>
          <w:szCs w:val="24"/>
        </w:rPr>
        <w:t>“In</w:t>
      </w:r>
      <w:r>
        <w:rPr>
          <w:rFonts w:ascii="Times New Roman" w:eastAsia="Times New Roman" w:hAnsi="Times New Roman" w:cs="Times New Roman"/>
          <w:sz w:val="24"/>
          <w:szCs w:val="24"/>
        </w:rPr>
        <w:t xml:space="preserve"> her role as sister and father’s sister, a woman exercised prerogatives that included a privileged access to the valuables and men’s products in her brother’s household (60).” This contributes to the superiority of women because they had control over what goods belonged to their brother and his household. </w:t>
      </w:r>
    </w:p>
    <w:p w14:paraId="00000008" w14:textId="1C9C7012" w:rsidR="002D3690" w:rsidRDefault="00497EFD" w:rsidP="00751DB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 top of access to goods, “marriages were arranged through the </w:t>
      </w:r>
      <w:r w:rsidR="00D575DF">
        <w:rPr>
          <w:rFonts w:ascii="Times New Roman" w:eastAsia="Times New Roman" w:hAnsi="Times New Roman" w:cs="Times New Roman"/>
          <w:sz w:val="24"/>
          <w:szCs w:val="24"/>
        </w:rPr>
        <w:t>Fahu</w:t>
      </w:r>
      <w:r>
        <w:rPr>
          <w:rFonts w:ascii="Times New Roman" w:eastAsia="Times New Roman" w:hAnsi="Times New Roman" w:cs="Times New Roman"/>
          <w:sz w:val="24"/>
          <w:szCs w:val="24"/>
        </w:rPr>
        <w:t xml:space="preserve"> prerogatives (Gailey 102).”  For first marriages, the decision was based upon the requests of the sister. Women and men were allowed to get remarried after divorce or have multiple wives. In fact, divorce was very common in the Tongan islands. But when arranging </w:t>
      </w:r>
      <w:r w:rsidR="00D575DF">
        <w:rPr>
          <w:rFonts w:ascii="Times New Roman" w:eastAsia="Times New Roman" w:hAnsi="Times New Roman" w:cs="Times New Roman"/>
          <w:sz w:val="24"/>
          <w:szCs w:val="24"/>
        </w:rPr>
        <w:t>marriages,</w:t>
      </w:r>
      <w:r>
        <w:rPr>
          <w:rFonts w:ascii="Times New Roman" w:eastAsia="Times New Roman" w:hAnsi="Times New Roman" w:cs="Times New Roman"/>
          <w:sz w:val="24"/>
          <w:szCs w:val="24"/>
        </w:rPr>
        <w:t xml:space="preserve"> the sister is superior to their brother’s wife or wives. So not only did they have access to their brothers and </w:t>
      </w:r>
      <w:r>
        <w:rPr>
          <w:rFonts w:ascii="Times New Roman" w:eastAsia="Times New Roman" w:hAnsi="Times New Roman" w:cs="Times New Roman"/>
          <w:sz w:val="24"/>
          <w:szCs w:val="24"/>
        </w:rPr>
        <w:lastRenderedPageBreak/>
        <w:t xml:space="preserve">his </w:t>
      </w:r>
      <w:r w:rsidR="00751DBF">
        <w:rPr>
          <w:rFonts w:ascii="Times New Roman" w:eastAsia="Times New Roman" w:hAnsi="Times New Roman" w:cs="Times New Roman"/>
          <w:sz w:val="24"/>
          <w:szCs w:val="24"/>
        </w:rPr>
        <w:t>children’s</w:t>
      </w:r>
      <w:r>
        <w:rPr>
          <w:rFonts w:ascii="Times New Roman" w:eastAsia="Times New Roman" w:hAnsi="Times New Roman" w:cs="Times New Roman"/>
          <w:sz w:val="24"/>
          <w:szCs w:val="24"/>
        </w:rPr>
        <w:t xml:space="preserve"> goods, </w:t>
      </w:r>
      <w:r w:rsidR="00D575DF">
        <w:rPr>
          <w:rFonts w:ascii="Times New Roman" w:eastAsia="Times New Roman" w:hAnsi="Times New Roman" w:cs="Times New Roman"/>
          <w:sz w:val="24"/>
          <w:szCs w:val="24"/>
        </w:rPr>
        <w:t>but she also</w:t>
      </w:r>
      <w:r>
        <w:rPr>
          <w:rFonts w:ascii="Times New Roman" w:eastAsia="Times New Roman" w:hAnsi="Times New Roman" w:cs="Times New Roman"/>
          <w:sz w:val="24"/>
          <w:szCs w:val="24"/>
        </w:rPr>
        <w:t xml:space="preserve"> has access to his wife as well. Gailey states that </w:t>
      </w:r>
      <w:r w:rsidR="00D575DF">
        <w:rPr>
          <w:rFonts w:ascii="Times New Roman" w:eastAsia="Times New Roman" w:hAnsi="Times New Roman" w:cs="Times New Roman"/>
          <w:sz w:val="24"/>
          <w:szCs w:val="24"/>
        </w:rPr>
        <w:t>“she</w:t>
      </w:r>
      <w:r>
        <w:rPr>
          <w:rFonts w:ascii="Times New Roman" w:eastAsia="Times New Roman" w:hAnsi="Times New Roman" w:cs="Times New Roman"/>
          <w:sz w:val="24"/>
          <w:szCs w:val="24"/>
        </w:rPr>
        <w:t xml:space="preserve"> could claim goods made by them or request production of them (61).” Sisters held high authority in pre contact Tonga. The power that women held is also heavily contributed from their means of production.</w:t>
      </w:r>
    </w:p>
    <w:p w14:paraId="00000009" w14:textId="37C3223A" w:rsidR="002D3690" w:rsidRDefault="00497EFD" w:rsidP="00751DB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pre-contact Tonga, everyone was involved in means of production and subsistence. Both women and men participated in hunting and gathering. But all goods were valued depending on the maker. According to Gailey, “Chiefly women produced valuables, which were crucial in the validation of the maker’s rank, in the reproduction of the chiefly group as a whole, and in the reproduction of Tongan society as kin-based (104).” The production of women made up what maintained the kin-based society. Women’s goods included mats, tapa or bark cloth, baskets, and other items (113). Tapas were highly valued and considered chiefly, as one mat could take up to four years to make. The valuables or Koloa that were created by women are considered chiefly, even if the woman who created them are non-chiefly (104). Women valuables held such social importance that trade with men’s goods was extremely </w:t>
      </w:r>
      <w:r w:rsidR="00D575DF">
        <w:rPr>
          <w:rFonts w:ascii="Times New Roman" w:eastAsia="Times New Roman" w:hAnsi="Times New Roman" w:cs="Times New Roman"/>
          <w:sz w:val="24"/>
          <w:szCs w:val="24"/>
        </w:rPr>
        <w:t>limited (</w:t>
      </w:r>
      <w:r>
        <w:rPr>
          <w:rFonts w:ascii="Times New Roman" w:eastAsia="Times New Roman" w:hAnsi="Times New Roman" w:cs="Times New Roman"/>
          <w:sz w:val="24"/>
          <w:szCs w:val="24"/>
        </w:rPr>
        <w:t xml:space="preserve">109).  </w:t>
      </w:r>
    </w:p>
    <w:p w14:paraId="0000000A" w14:textId="46208FFD" w:rsidR="002D3690" w:rsidRDefault="00497EFD" w:rsidP="00751DB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Gailey argues that diminishing the Fahu relationship was one of the main factors that prohibited the Tongan society from developing classes and a state. Women were the sole creator of wealth or socially valued products. Gailey specified that, “this ambivalence of women’s work being simultaneously chiefly and non</w:t>
      </w:r>
      <w:r w:rsidR="00751DB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chiefly --paralleling reproductive and productive aspects of the items -- anticipates a latter reduction in the status of women when the productive activity became divorced from rank (105).” Post-contact women still continued to make </w:t>
      </w:r>
      <w:r w:rsidR="00D575DF">
        <w:rPr>
          <w:rFonts w:ascii="Times New Roman" w:eastAsia="Times New Roman" w:hAnsi="Times New Roman" w:cs="Times New Roman"/>
          <w:sz w:val="24"/>
          <w:szCs w:val="24"/>
        </w:rPr>
        <w:t>valuables,</w:t>
      </w:r>
      <w:r>
        <w:rPr>
          <w:rFonts w:ascii="Times New Roman" w:eastAsia="Times New Roman" w:hAnsi="Times New Roman" w:cs="Times New Roman"/>
          <w:sz w:val="24"/>
          <w:szCs w:val="24"/>
        </w:rPr>
        <w:t xml:space="preserve"> but it didn’t make up the social status of women, it was for commodity purposes. Value was in the product and not by the person who made it. What Gailey professes is that this economically </w:t>
      </w:r>
      <w:r>
        <w:rPr>
          <w:rFonts w:ascii="Times New Roman" w:eastAsia="Times New Roman" w:hAnsi="Times New Roman" w:cs="Times New Roman"/>
          <w:sz w:val="24"/>
          <w:szCs w:val="24"/>
        </w:rPr>
        <w:lastRenderedPageBreak/>
        <w:t>displaced women in the Tongan society as this change was enacted during the formation of classes.</w:t>
      </w:r>
    </w:p>
    <w:p w14:paraId="0000000B" w14:textId="77777777" w:rsidR="002D3690" w:rsidRDefault="00497EFD" w:rsidP="00751DBF">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Gender Relations After the Rise of Classes and State Formation</w:t>
      </w:r>
    </w:p>
    <w:p w14:paraId="0000000C" w14:textId="43278A1A" w:rsidR="002D3690" w:rsidRDefault="00497EFD" w:rsidP="00751DB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Part Two, Christine Gailey detailed the stages of change as European influences increased. During the early contact period from 1610 to 1810, European visitors and the Tongans occasionally bartered: “Male chiefs usually came with foodstuffs or Tongan weapons to barter; female chiefs almost always brought decorated and plain bark cloth or finely plaited mats (Gailey 148).”  </w:t>
      </w:r>
      <w:r w:rsidR="00D575DF">
        <w:rPr>
          <w:rFonts w:ascii="Times New Roman" w:eastAsia="Times New Roman" w:hAnsi="Times New Roman" w:cs="Times New Roman"/>
          <w:sz w:val="24"/>
          <w:szCs w:val="24"/>
        </w:rPr>
        <w:t>Also,</w:t>
      </w:r>
      <w:r>
        <w:rPr>
          <w:rFonts w:ascii="Times New Roman" w:eastAsia="Times New Roman" w:hAnsi="Times New Roman" w:cs="Times New Roman"/>
          <w:sz w:val="24"/>
          <w:szCs w:val="24"/>
        </w:rPr>
        <w:t xml:space="preserve"> during this period there was political warfare that </w:t>
      </w:r>
      <w:r w:rsidR="00D575DF">
        <w:rPr>
          <w:rFonts w:ascii="Times New Roman" w:eastAsia="Times New Roman" w:hAnsi="Times New Roman" w:cs="Times New Roman"/>
          <w:sz w:val="24"/>
          <w:szCs w:val="24"/>
        </w:rPr>
        <w:t>plagued the</w:t>
      </w:r>
      <w:r>
        <w:rPr>
          <w:rFonts w:ascii="Times New Roman" w:eastAsia="Times New Roman" w:hAnsi="Times New Roman" w:cs="Times New Roman"/>
          <w:sz w:val="24"/>
          <w:szCs w:val="24"/>
        </w:rPr>
        <w:t xml:space="preserve"> Tongans, in which Europeans helped armed the chiefs in the midst of it (Gailey 180). Although there was some sort of western influence it wasn’t until the 1820s significant change was apparent.</w:t>
      </w:r>
    </w:p>
    <w:p w14:paraId="0000000D" w14:textId="4ED69C3D" w:rsidR="002D3690" w:rsidRDefault="00497EFD" w:rsidP="00751DB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Upon the arrival of the Wesleyan Methodist Christian missionaries in the 1820s, there was a mission to change the Tongans traditional way of living. According to Gailey, </w:t>
      </w:r>
      <w:r w:rsidR="00D575DF">
        <w:rPr>
          <w:rFonts w:ascii="Times New Roman" w:eastAsia="Times New Roman" w:hAnsi="Times New Roman" w:cs="Times New Roman"/>
          <w:sz w:val="24"/>
          <w:szCs w:val="24"/>
        </w:rPr>
        <w:t>“The</w:t>
      </w:r>
      <w:r>
        <w:rPr>
          <w:rFonts w:ascii="Times New Roman" w:eastAsia="Times New Roman" w:hAnsi="Times New Roman" w:cs="Times New Roman"/>
          <w:sz w:val="24"/>
          <w:szCs w:val="24"/>
        </w:rPr>
        <w:t xml:space="preserve"> campaign doubt to redefine Tongan concepts of gender and to reduce Tongan political and economic authority (186).” In their efforts to reach class and state formation the missionaries strived to structure the Tongan society to a commodity production and patriarchal family form. </w:t>
      </w:r>
    </w:p>
    <w:p w14:paraId="0000000F" w14:textId="24649671" w:rsidR="002D3690" w:rsidRDefault="00497EFD" w:rsidP="00751DB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missionaries forced Christian monogamy on the Tongans. How the Tongans went about marriage and divorce was subject to change. In pre-contact </w:t>
      </w:r>
      <w:r w:rsidR="00D575DF">
        <w:rPr>
          <w:rFonts w:ascii="Times New Roman" w:eastAsia="Times New Roman" w:hAnsi="Times New Roman" w:cs="Times New Roman"/>
          <w:sz w:val="24"/>
          <w:szCs w:val="24"/>
        </w:rPr>
        <w:t>Tonga, if</w:t>
      </w:r>
      <w:r>
        <w:rPr>
          <w:rFonts w:ascii="Times New Roman" w:eastAsia="Times New Roman" w:hAnsi="Times New Roman" w:cs="Times New Roman"/>
          <w:sz w:val="24"/>
          <w:szCs w:val="24"/>
        </w:rPr>
        <w:t xml:space="preserve"> a woman decided to abandon her deranged husband she would not have to come back (188). In the 1840s there were constraints placed on married women, by forcing their kin or friends to return them to their husband (188). The missionaries heavily imposed their beliefs on women as stated by Gailey: “The missionaries directed a great deal of energy toward the control of female sexuality, for both unmarried and married women. The sexual code affected non chiefly unmarried women most severely (188).” The missionaries continue to become more zealous in their pursuit of western </w:t>
      </w:r>
      <w:r>
        <w:rPr>
          <w:rFonts w:ascii="Times New Roman" w:eastAsia="Times New Roman" w:hAnsi="Times New Roman" w:cs="Times New Roman"/>
          <w:sz w:val="24"/>
          <w:szCs w:val="24"/>
        </w:rPr>
        <w:lastRenderedPageBreak/>
        <w:t xml:space="preserve">civilization. Women and men who performed adultery were met with prison time, fines, and labor (189). The women were forced to take up a traditional </w:t>
      </w:r>
      <w:r w:rsidR="00751DBF">
        <w:rPr>
          <w:rFonts w:ascii="Times New Roman" w:eastAsia="Times New Roman" w:hAnsi="Times New Roman" w:cs="Times New Roman"/>
          <w:sz w:val="24"/>
          <w:szCs w:val="24"/>
        </w:rPr>
        <w:t>Methodist</w:t>
      </w:r>
      <w:r>
        <w:rPr>
          <w:rFonts w:ascii="Times New Roman" w:eastAsia="Times New Roman" w:hAnsi="Times New Roman" w:cs="Times New Roman"/>
          <w:sz w:val="24"/>
          <w:szCs w:val="24"/>
        </w:rPr>
        <w:t xml:space="preserve"> wife role in the household. Gailey states that, “Wives were harangued as sinful and subject to public sanction if they did not comply with missionary notions of marital duty (190).”  To achieve this, Tongan women were forced to stay home and do household tasks such as cook, clean, and take care of their children where before men would do the cooking. Allowing a woman to cook in pre-contact Tonga was seen as </w:t>
      </w:r>
      <w:r w:rsidR="00D575DF">
        <w:rPr>
          <w:rFonts w:ascii="Times New Roman" w:eastAsia="Times New Roman" w:hAnsi="Times New Roman" w:cs="Times New Roman"/>
          <w:sz w:val="24"/>
          <w:szCs w:val="24"/>
        </w:rPr>
        <w:t>low status</w:t>
      </w:r>
      <w:r>
        <w:rPr>
          <w:rFonts w:ascii="Times New Roman" w:eastAsia="Times New Roman" w:hAnsi="Times New Roman" w:cs="Times New Roman"/>
          <w:sz w:val="24"/>
          <w:szCs w:val="24"/>
        </w:rPr>
        <w:t xml:space="preserve">. Other standards were imposed in order to force women to be dependent on their husbands or their brothers. In the 1857 code men and women were banned from having multiple spouses (206). The missionaries strived to make </w:t>
      </w:r>
      <w:r w:rsidR="00751DBF">
        <w:rPr>
          <w:rFonts w:ascii="Times New Roman" w:eastAsia="Times New Roman" w:hAnsi="Times New Roman" w:cs="Times New Roman"/>
          <w:sz w:val="24"/>
          <w:szCs w:val="24"/>
        </w:rPr>
        <w:t>Christian</w:t>
      </w:r>
      <w:r>
        <w:rPr>
          <w:rFonts w:ascii="Times New Roman" w:eastAsia="Times New Roman" w:hAnsi="Times New Roman" w:cs="Times New Roman"/>
          <w:sz w:val="24"/>
          <w:szCs w:val="24"/>
        </w:rPr>
        <w:t xml:space="preserve"> marriage a necessity in order to disrupt the strongest threshold for kin-based society, the Fahu.</w:t>
      </w:r>
    </w:p>
    <w:p w14:paraId="30EFDF63" w14:textId="767FED1F" w:rsidR="00751DBF" w:rsidRDefault="00497EFD" w:rsidP="00751DB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Wesleyan Methodist missionaries continue to devalue Tongan society as they are forced to conform to Victorian Middle-class standards.  According to Gailey, the 1857 code restricted the Fahu,” The code</w:t>
      </w:r>
      <w:r w:rsidR="00D575D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stressed the </w:t>
      </w:r>
      <w:r w:rsidR="00D575DF">
        <w:rPr>
          <w:rFonts w:ascii="Times New Roman" w:eastAsia="Times New Roman" w:hAnsi="Times New Roman" w:cs="Times New Roman"/>
          <w:sz w:val="24"/>
          <w:szCs w:val="24"/>
        </w:rPr>
        <w:t>centrality of</w:t>
      </w:r>
      <w:r>
        <w:rPr>
          <w:rFonts w:ascii="Times New Roman" w:eastAsia="Times New Roman" w:hAnsi="Times New Roman" w:cs="Times New Roman"/>
          <w:sz w:val="24"/>
          <w:szCs w:val="24"/>
        </w:rPr>
        <w:t xml:space="preserve"> the conjugal pair, and especially the authority and the responsibility of husbands, over any collateral kin connections (209).” The law prohibited sisters from having control over their brothers’ children. </w:t>
      </w:r>
      <w:r w:rsidR="00D575DF">
        <w:rPr>
          <w:rFonts w:ascii="Times New Roman" w:eastAsia="Times New Roman" w:hAnsi="Times New Roman" w:cs="Times New Roman"/>
          <w:sz w:val="24"/>
          <w:szCs w:val="24"/>
        </w:rPr>
        <w:t>Also,</w:t>
      </w:r>
      <w:r>
        <w:rPr>
          <w:rFonts w:ascii="Times New Roman" w:eastAsia="Times New Roman" w:hAnsi="Times New Roman" w:cs="Times New Roman"/>
          <w:sz w:val="24"/>
          <w:szCs w:val="24"/>
        </w:rPr>
        <w:t xml:space="preserve"> the code banned the Tongan tradition of gift </w:t>
      </w:r>
      <w:r w:rsidR="00D575DF">
        <w:rPr>
          <w:rFonts w:ascii="Times New Roman" w:eastAsia="Times New Roman" w:hAnsi="Times New Roman" w:cs="Times New Roman"/>
          <w:sz w:val="24"/>
          <w:szCs w:val="24"/>
        </w:rPr>
        <w:t>giving, as</w:t>
      </w:r>
      <w:r>
        <w:rPr>
          <w:rFonts w:ascii="Times New Roman" w:eastAsia="Times New Roman" w:hAnsi="Times New Roman" w:cs="Times New Roman"/>
          <w:sz w:val="24"/>
          <w:szCs w:val="24"/>
        </w:rPr>
        <w:t xml:space="preserve"> well as redistribution at funerals and marriages. The Fahu ban single-handedly disrupted the cycle of reproduction implemented by the Tongan women.  According to Gailey, “The change not only eliminated one of the major means by which women kept control over reproduction, it also made barrenness an unprecedented issue (210). Without it being illegal, Tongan women couldn’t inherit a position unless it was through a husband, or her children. Women no longer held rights through their brothers and his family. Providing for your wife was more important than fulfilling the needs of your sister. This would economically displace the Tongan Women, especially the </w:t>
      </w:r>
      <w:r w:rsidR="00751DBF">
        <w:rPr>
          <w:rFonts w:ascii="Times New Roman" w:eastAsia="Times New Roman" w:hAnsi="Times New Roman" w:cs="Times New Roman"/>
          <w:sz w:val="24"/>
          <w:szCs w:val="24"/>
        </w:rPr>
        <w:t>non-</w:t>
      </w:r>
      <w:r>
        <w:rPr>
          <w:rFonts w:ascii="Times New Roman" w:eastAsia="Times New Roman" w:hAnsi="Times New Roman" w:cs="Times New Roman"/>
          <w:sz w:val="24"/>
          <w:szCs w:val="24"/>
        </w:rPr>
        <w:t>chiefly, unmarried women.</w:t>
      </w:r>
    </w:p>
    <w:p w14:paraId="00000011" w14:textId="736F25D9" w:rsidR="002D3690" w:rsidRDefault="00497EFD" w:rsidP="00751DB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gender relations in Tonga were further strained when the division of labor was restructured. International trade was controlled by the missionaries while </w:t>
      </w:r>
      <w:r w:rsidR="00751DBF">
        <w:rPr>
          <w:rFonts w:ascii="Times New Roman" w:eastAsia="Times New Roman" w:hAnsi="Times New Roman" w:cs="Times New Roman"/>
          <w:sz w:val="24"/>
          <w:szCs w:val="24"/>
        </w:rPr>
        <w:t>Christian</w:t>
      </w:r>
      <w:r>
        <w:rPr>
          <w:rFonts w:ascii="Times New Roman" w:eastAsia="Times New Roman" w:hAnsi="Times New Roman" w:cs="Times New Roman"/>
          <w:sz w:val="24"/>
          <w:szCs w:val="24"/>
        </w:rPr>
        <w:t xml:space="preserve"> chiefs stood behind their prerogatives. As claimed by Gailey, in pre-contact Tonga, Women and Men participated in labor. Post-contact labor demands on chiefly men increased while women were forced to do “womanly” chores even if the man was able to do it (224). </w:t>
      </w:r>
      <w:r w:rsidR="00D575DF">
        <w:rPr>
          <w:rFonts w:ascii="Times New Roman" w:eastAsia="Times New Roman" w:hAnsi="Times New Roman" w:cs="Times New Roman"/>
          <w:sz w:val="24"/>
          <w:szCs w:val="24"/>
        </w:rPr>
        <w:t>Also,</w:t>
      </w:r>
      <w:r>
        <w:rPr>
          <w:rFonts w:ascii="Times New Roman" w:eastAsia="Times New Roman" w:hAnsi="Times New Roman" w:cs="Times New Roman"/>
          <w:sz w:val="24"/>
          <w:szCs w:val="24"/>
        </w:rPr>
        <w:t xml:space="preserve"> the customary spheres had shifted. Before Women’s valuables were traded for other valuables. Men’s products were traded with men’s products. Everything had a particular value. After contact, “European valuables were received for a men’s product (225).” Also, the creation of koloa turned into commodity production. Tongan women goods were no longer valued through their social status but by the quantity, or substance. Women’s goods were further demeaned when tapas were banned in order to further European goods. The use of Tapas was substituted with textiles. Creating goods no longer attributed to the wealth of women in the Tongan society, only for European market purposes: “Women’s </w:t>
      </w:r>
      <w:r w:rsidR="00D575DF">
        <w:rPr>
          <w:rFonts w:ascii="Times New Roman" w:eastAsia="Times New Roman" w:hAnsi="Times New Roman" w:cs="Times New Roman"/>
          <w:sz w:val="24"/>
          <w:szCs w:val="24"/>
        </w:rPr>
        <w:t>goods</w:t>
      </w:r>
      <w:r>
        <w:rPr>
          <w:rFonts w:ascii="Times New Roman" w:eastAsia="Times New Roman" w:hAnsi="Times New Roman" w:cs="Times New Roman"/>
          <w:sz w:val="24"/>
          <w:szCs w:val="24"/>
        </w:rPr>
        <w:t xml:space="preserve"> no longer validated all life status changes</w:t>
      </w:r>
      <w:r w:rsidR="00D575D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Mats and tapa again became </w:t>
      </w:r>
      <w:r w:rsidR="00D575DF">
        <w:rPr>
          <w:rFonts w:ascii="Times New Roman" w:eastAsia="Times New Roman" w:hAnsi="Times New Roman" w:cs="Times New Roman"/>
          <w:sz w:val="24"/>
          <w:szCs w:val="24"/>
        </w:rPr>
        <w:t>fashionable...</w:t>
      </w:r>
      <w:r>
        <w:rPr>
          <w:rFonts w:ascii="Times New Roman" w:eastAsia="Times New Roman" w:hAnsi="Times New Roman" w:cs="Times New Roman"/>
          <w:sz w:val="24"/>
          <w:szCs w:val="24"/>
        </w:rPr>
        <w:t xml:space="preserve"> But not embodiments</w:t>
      </w:r>
      <w:r w:rsidR="00D575D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of status (Gailey 243-244).”</w:t>
      </w:r>
    </w:p>
    <w:p w14:paraId="00000012" w14:textId="77777777" w:rsidR="002D3690" w:rsidRDefault="00497EFD" w:rsidP="00751DBF">
      <w:pPr>
        <w:spacing w:line="480" w:lineRule="auto"/>
        <w:ind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Does the evidence presented in the book support Gailey's main thesis?</w:t>
      </w:r>
    </w:p>
    <w:p w14:paraId="00000013" w14:textId="15220630" w:rsidR="002D3690" w:rsidRDefault="00497EFD" w:rsidP="00751DB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evidence in the book supports Christine Gailey’s main thesis. Prior to contact with the Wesleyan </w:t>
      </w:r>
      <w:r w:rsidR="00751DBF">
        <w:rPr>
          <w:rFonts w:ascii="Times New Roman" w:eastAsia="Times New Roman" w:hAnsi="Times New Roman" w:cs="Times New Roman"/>
          <w:sz w:val="24"/>
          <w:szCs w:val="24"/>
        </w:rPr>
        <w:t>Methodist</w:t>
      </w:r>
      <w:r>
        <w:rPr>
          <w:rFonts w:ascii="Times New Roman" w:eastAsia="Times New Roman" w:hAnsi="Times New Roman" w:cs="Times New Roman"/>
          <w:sz w:val="24"/>
          <w:szCs w:val="24"/>
        </w:rPr>
        <w:t xml:space="preserve"> missionaries, the Tongans lived in a society where production was oriented towards subsistence in order to provide for the kinship groups and reproduction of society. High ranked chiefly were not as involved in production and Women held a very high status. Soon sisters had no economical claims to their brothers' goods and women became dependent on their spouses. Christine Gailey argues that sex inevitably plays a role in class stratification because the only way for them to achieve was by diminishing the Tongan women </w:t>
      </w:r>
      <w:r>
        <w:rPr>
          <w:rFonts w:ascii="Times New Roman" w:eastAsia="Times New Roman" w:hAnsi="Times New Roman" w:cs="Times New Roman"/>
          <w:sz w:val="24"/>
          <w:szCs w:val="24"/>
        </w:rPr>
        <w:lastRenderedPageBreak/>
        <w:t xml:space="preserve">who held the most power. Gender hierarchy does not exist in </w:t>
      </w:r>
      <w:r w:rsidR="00D575DF">
        <w:rPr>
          <w:rFonts w:ascii="Times New Roman" w:eastAsia="Times New Roman" w:hAnsi="Times New Roman" w:cs="Times New Roman"/>
          <w:sz w:val="24"/>
          <w:szCs w:val="24"/>
        </w:rPr>
        <w:t>kinship-based</w:t>
      </w:r>
      <w:r>
        <w:rPr>
          <w:rFonts w:ascii="Times New Roman" w:eastAsia="Times New Roman" w:hAnsi="Times New Roman" w:cs="Times New Roman"/>
          <w:sz w:val="24"/>
          <w:szCs w:val="24"/>
        </w:rPr>
        <w:t xml:space="preserve"> </w:t>
      </w:r>
      <w:r w:rsidR="00D575DF">
        <w:rPr>
          <w:rFonts w:ascii="Times New Roman" w:eastAsia="Times New Roman" w:hAnsi="Times New Roman" w:cs="Times New Roman"/>
          <w:sz w:val="24"/>
          <w:szCs w:val="24"/>
        </w:rPr>
        <w:t>societies,</w:t>
      </w:r>
      <w:r>
        <w:rPr>
          <w:rFonts w:ascii="Times New Roman" w:eastAsia="Times New Roman" w:hAnsi="Times New Roman" w:cs="Times New Roman"/>
          <w:sz w:val="24"/>
          <w:szCs w:val="24"/>
        </w:rPr>
        <w:t xml:space="preserve"> but it emerges during class and state formation. </w:t>
      </w:r>
    </w:p>
    <w:p w14:paraId="04CFC2C4" w14:textId="44E8EBF6" w:rsidR="00751DBF" w:rsidRPr="00751DBF" w:rsidRDefault="00751DBF" w:rsidP="00751DBF">
      <w:pPr>
        <w:spacing w:line="480" w:lineRule="auto"/>
        <w:jc w:val="center"/>
        <w:rPr>
          <w:rFonts w:ascii="Times New Roman" w:eastAsia="Times New Roman" w:hAnsi="Times New Roman" w:cs="Times New Roman"/>
          <w:b/>
          <w:bCs/>
          <w:sz w:val="24"/>
          <w:szCs w:val="24"/>
        </w:rPr>
      </w:pPr>
      <w:r w:rsidRPr="00751DBF">
        <w:rPr>
          <w:rFonts w:ascii="Times New Roman" w:eastAsia="Times New Roman" w:hAnsi="Times New Roman" w:cs="Times New Roman"/>
          <w:b/>
          <w:bCs/>
          <w:sz w:val="24"/>
          <w:szCs w:val="24"/>
        </w:rPr>
        <w:t>Citations</w:t>
      </w:r>
    </w:p>
    <w:p w14:paraId="186CC7A0" w14:textId="77777777" w:rsidR="00751DBF" w:rsidRPr="00751DBF" w:rsidRDefault="00751DBF" w:rsidP="00751DBF">
      <w:pPr>
        <w:ind w:left="720" w:hanging="720"/>
        <w:rPr>
          <w:rFonts w:ascii="Times New Roman" w:hAnsi="Times New Roman" w:cs="Times New Roman"/>
          <w:bCs/>
          <w:lang w:val="en-US"/>
        </w:rPr>
      </w:pPr>
      <w:r w:rsidRPr="00751DBF">
        <w:rPr>
          <w:rFonts w:ascii="Times New Roman" w:hAnsi="Times New Roman" w:cs="Times New Roman"/>
          <w:bCs/>
          <w:lang w:val="en-US"/>
        </w:rPr>
        <w:t>Gailey, Christine Ward. “Kinship to Kingship: Gender Hierarchy and State Formation in the Tongan Islands.” </w:t>
      </w:r>
      <w:r w:rsidRPr="00751DBF">
        <w:rPr>
          <w:rFonts w:ascii="Times New Roman" w:hAnsi="Times New Roman" w:cs="Times New Roman"/>
          <w:bCs/>
          <w:i/>
          <w:iCs/>
          <w:lang w:val="en-US"/>
        </w:rPr>
        <w:t>Texas Press Sourcebooks in Anthropology</w:t>
      </w:r>
      <w:r w:rsidRPr="00751DBF">
        <w:rPr>
          <w:rFonts w:ascii="Times New Roman" w:hAnsi="Times New Roman" w:cs="Times New Roman"/>
          <w:bCs/>
          <w:lang w:val="en-US"/>
        </w:rPr>
        <w:t>, no. no. 14, University of Texas Press, 1987, pp. xviii, 326, https://ehrafworldcultures.yale.edu/document?id=ou09-113.</w:t>
      </w:r>
    </w:p>
    <w:p w14:paraId="00000016" w14:textId="77777777" w:rsidR="002D3690" w:rsidRDefault="002D3690">
      <w:pPr>
        <w:rPr>
          <w:b/>
        </w:rPr>
      </w:pPr>
    </w:p>
    <w:sectPr w:rsidR="002D3690">
      <w:headerReference w:type="even" r:id="rId6"/>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42ED1F" w14:textId="77777777" w:rsidR="0063510B" w:rsidRDefault="0063510B">
      <w:pPr>
        <w:spacing w:line="240" w:lineRule="auto"/>
      </w:pPr>
      <w:r>
        <w:separator/>
      </w:r>
    </w:p>
  </w:endnote>
  <w:endnote w:type="continuationSeparator" w:id="0">
    <w:p w14:paraId="6F4994EF" w14:textId="77777777" w:rsidR="0063510B" w:rsidRDefault="0063510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6945FC" w14:textId="77777777" w:rsidR="0063510B" w:rsidRDefault="0063510B">
      <w:pPr>
        <w:spacing w:line="240" w:lineRule="auto"/>
      </w:pPr>
      <w:r>
        <w:separator/>
      </w:r>
    </w:p>
  </w:footnote>
  <w:footnote w:type="continuationSeparator" w:id="0">
    <w:p w14:paraId="7BE869A5" w14:textId="77777777" w:rsidR="0063510B" w:rsidRDefault="0063510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809831123"/>
      <w:docPartObj>
        <w:docPartGallery w:val="Page Numbers (Top of Page)"/>
        <w:docPartUnique/>
      </w:docPartObj>
    </w:sdtPr>
    <w:sdtEndPr>
      <w:rPr>
        <w:rStyle w:val="PageNumber"/>
      </w:rPr>
    </w:sdtEndPr>
    <w:sdtContent>
      <w:p w14:paraId="7B20A080" w14:textId="6024F8A8" w:rsidR="00D54B0D" w:rsidRDefault="00D54B0D" w:rsidP="00C20042">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559A521" w14:textId="77777777" w:rsidR="00D54B0D" w:rsidRDefault="00D54B0D" w:rsidP="00D54B0D">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796033153"/>
      <w:docPartObj>
        <w:docPartGallery w:val="Page Numbers (Top of Page)"/>
        <w:docPartUnique/>
      </w:docPartObj>
    </w:sdtPr>
    <w:sdtEndPr>
      <w:rPr>
        <w:rStyle w:val="PageNumber"/>
      </w:rPr>
    </w:sdtEndPr>
    <w:sdtContent>
      <w:p w14:paraId="4E6C5758" w14:textId="6E5B5AD2" w:rsidR="00D54B0D" w:rsidRDefault="00D54B0D" w:rsidP="00C20042">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0000017" w14:textId="77777777" w:rsidR="002D3690" w:rsidRDefault="00497EFD" w:rsidP="00D54B0D">
    <w:pPr>
      <w:ind w:right="360"/>
      <w:rPr>
        <w:rFonts w:ascii="Times New Roman" w:eastAsia="Times New Roman" w:hAnsi="Times New Roman" w:cs="Times New Roman"/>
      </w:rPr>
    </w:pPr>
    <w:r>
      <w:rPr>
        <w:rFonts w:ascii="Times New Roman" w:eastAsia="Times New Roman" w:hAnsi="Times New Roman" w:cs="Times New Roman"/>
      </w:rPr>
      <w:t>Alexandria Merchant</w:t>
    </w:r>
  </w:p>
  <w:p w14:paraId="00000018" w14:textId="77777777" w:rsidR="002D3690" w:rsidRDefault="00497EFD">
    <w:pPr>
      <w:rPr>
        <w:rFonts w:ascii="Times New Roman" w:eastAsia="Times New Roman" w:hAnsi="Times New Roman" w:cs="Times New Roman"/>
      </w:rPr>
    </w:pPr>
    <w:r>
      <w:rPr>
        <w:rFonts w:ascii="Times New Roman" w:eastAsia="Times New Roman" w:hAnsi="Times New Roman" w:cs="Times New Roman"/>
      </w:rPr>
      <w:t>ANTH207-008</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3690"/>
    <w:rsid w:val="002D3690"/>
    <w:rsid w:val="00497EFD"/>
    <w:rsid w:val="0063510B"/>
    <w:rsid w:val="00751DBF"/>
    <w:rsid w:val="009B389A"/>
    <w:rsid w:val="00D54B0D"/>
    <w:rsid w:val="00D575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F607D"/>
  <w15:docId w15:val="{DF5AD4D7-DA71-5441-B487-A8520069B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D54B0D"/>
    <w:pPr>
      <w:tabs>
        <w:tab w:val="center" w:pos="4680"/>
        <w:tab w:val="right" w:pos="9360"/>
      </w:tabs>
      <w:spacing w:line="240" w:lineRule="auto"/>
    </w:pPr>
  </w:style>
  <w:style w:type="character" w:customStyle="1" w:styleId="HeaderChar">
    <w:name w:val="Header Char"/>
    <w:basedOn w:val="DefaultParagraphFont"/>
    <w:link w:val="Header"/>
    <w:uiPriority w:val="99"/>
    <w:rsid w:val="00D54B0D"/>
  </w:style>
  <w:style w:type="character" w:styleId="PageNumber">
    <w:name w:val="page number"/>
    <w:basedOn w:val="DefaultParagraphFont"/>
    <w:uiPriority w:val="99"/>
    <w:semiHidden/>
    <w:unhideWhenUsed/>
    <w:rsid w:val="00D54B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4807223">
      <w:bodyDiv w:val="1"/>
      <w:marLeft w:val="0"/>
      <w:marRight w:val="0"/>
      <w:marTop w:val="0"/>
      <w:marBottom w:val="0"/>
      <w:divBdr>
        <w:top w:val="none" w:sz="0" w:space="0" w:color="auto"/>
        <w:left w:val="none" w:sz="0" w:space="0" w:color="auto"/>
        <w:bottom w:val="none" w:sz="0" w:space="0" w:color="auto"/>
        <w:right w:val="none" w:sz="0" w:space="0" w:color="auto"/>
      </w:divBdr>
    </w:div>
    <w:div w:id="11176043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1847</Words>
  <Characters>10533</Characters>
  <Application>Microsoft Office Word</Application>
  <DocSecurity>0</DocSecurity>
  <Lines>87</Lines>
  <Paragraphs>24</Paragraphs>
  <ScaleCrop>false</ScaleCrop>
  <Company/>
  <LinksUpToDate>false</LinksUpToDate>
  <CharactersWithSpaces>12356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Merchant, Alexandria O</cp:lastModifiedBy>
  <cp:revision>2</cp:revision>
  <dcterms:created xsi:type="dcterms:W3CDTF">2021-10-31T20:01:00Z</dcterms:created>
  <dcterms:modified xsi:type="dcterms:W3CDTF">2021-10-31T20:01:00Z</dcterms:modified>
</cp:coreProperties>
</file>