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01451" w14:textId="7C242E79"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"/var/folders/xx/b74wr1s110v7wd4fcc2vzqx80000gn/T/com.microsoft.Word/WebArchiveCopyPasteTempFiles/page30image38389824"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1F62C6CA" wp14:editId="6A91F300">
            <wp:extent cx="5269230" cy="18415"/>
            <wp:effectExtent l="0" t="0" r="1270" b="0"/>
            <wp:docPr id="70" name="Picture 70" descr="page30image38389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30image3838982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69230" cy="18415"/>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51085AE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FF6619"/>
          <w:sz w:val="16"/>
          <w:szCs w:val="16"/>
        </w:rPr>
        <w:t xml:space="preserve">OBJECTIVES </w:t>
      </w:r>
    </w:p>
    <w:p w14:paraId="4893B33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sz w:val="16"/>
          <w:szCs w:val="16"/>
        </w:rPr>
        <w:t xml:space="preserve">After reading this chapter, the student should be able to: </w:t>
      </w:r>
    </w:p>
    <w:p w14:paraId="654F55BD" w14:textId="77777777" w:rsidR="00653E2F" w:rsidRPr="00653E2F" w:rsidRDefault="00653E2F" w:rsidP="00653E2F">
      <w:pPr>
        <w:numPr>
          <w:ilvl w:val="0"/>
          <w:numId w:val="1"/>
        </w:numPr>
        <w:spacing w:before="100" w:beforeAutospacing="1" w:after="100" w:afterAutospacing="1"/>
        <w:rPr>
          <w:rFonts w:ascii="ZapfDingbats" w:eastAsia="Times New Roman" w:hAnsi="ZapfDingbats" w:cs="Times New Roman"/>
          <w:color w:val="00FF00"/>
          <w:position w:val="2"/>
          <w:sz w:val="8"/>
          <w:szCs w:val="8"/>
        </w:rPr>
      </w:pPr>
      <w:r w:rsidRPr="00653E2F">
        <w:rPr>
          <w:rFonts w:ascii="ACaslonPro" w:eastAsia="Times New Roman" w:hAnsi="ACaslonPro" w:cs="Times New Roman"/>
          <w:color w:val="00FF00"/>
          <w:position w:val="2"/>
          <w:sz w:val="16"/>
          <w:szCs w:val="16"/>
        </w:rPr>
        <w:t xml:space="preserve">Define the term </w:t>
      </w:r>
      <w:r w:rsidRPr="00653E2F">
        <w:rPr>
          <w:rFonts w:ascii="ACaslonPro" w:eastAsia="Times New Roman" w:hAnsi="ACaslonPro" w:cs="Times New Roman"/>
          <w:i/>
          <w:iCs/>
          <w:color w:val="00FF00"/>
          <w:position w:val="2"/>
          <w:sz w:val="16"/>
          <w:szCs w:val="16"/>
        </w:rPr>
        <w:t>management</w:t>
      </w:r>
      <w:r w:rsidRPr="00653E2F">
        <w:rPr>
          <w:rFonts w:ascii="ACaslonPro" w:eastAsia="Times New Roman" w:hAnsi="ACaslonPro" w:cs="Times New Roman"/>
          <w:color w:val="00FF00"/>
          <w:position w:val="2"/>
          <w:sz w:val="16"/>
          <w:szCs w:val="16"/>
        </w:rPr>
        <w:t xml:space="preserve">. </w:t>
      </w:r>
    </w:p>
    <w:p w14:paraId="2F99312B" w14:textId="77777777" w:rsidR="00653E2F" w:rsidRPr="00653E2F" w:rsidRDefault="00653E2F" w:rsidP="00653E2F">
      <w:pPr>
        <w:numPr>
          <w:ilvl w:val="0"/>
          <w:numId w:val="1"/>
        </w:numPr>
        <w:spacing w:before="100" w:beforeAutospacing="1" w:after="100" w:afterAutospacing="1"/>
        <w:rPr>
          <w:rFonts w:ascii="ZapfDingbats" w:eastAsia="Times New Roman" w:hAnsi="ZapfDingbats" w:cs="Times New Roman"/>
          <w:color w:val="00FF00"/>
          <w:position w:val="2"/>
          <w:sz w:val="8"/>
          <w:szCs w:val="8"/>
        </w:rPr>
      </w:pPr>
      <w:r w:rsidRPr="00653E2F">
        <w:rPr>
          <w:rFonts w:ascii="ACaslonPro" w:eastAsia="Times New Roman" w:hAnsi="ACaslonPro" w:cs="Times New Roman"/>
          <w:color w:val="00FF00"/>
          <w:position w:val="2"/>
          <w:sz w:val="16"/>
          <w:szCs w:val="16"/>
        </w:rPr>
        <w:t xml:space="preserve">Distinguish scientific management and human relations– </w:t>
      </w:r>
    </w:p>
    <w:p w14:paraId="22FFFB9D"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FF00"/>
          <w:position w:val="2"/>
          <w:sz w:val="8"/>
          <w:szCs w:val="8"/>
        </w:rPr>
      </w:pPr>
      <w:r w:rsidRPr="00653E2F">
        <w:rPr>
          <w:rFonts w:ascii="ACaslonPro" w:eastAsia="Times New Roman" w:hAnsi="ACaslonPro" w:cs="Times New Roman"/>
          <w:color w:val="00FF00"/>
          <w:position w:val="2"/>
          <w:sz w:val="16"/>
          <w:szCs w:val="16"/>
        </w:rPr>
        <w:t xml:space="preserve">based management. </w:t>
      </w:r>
    </w:p>
    <w:p w14:paraId="51648A54" w14:textId="77777777" w:rsidR="00653E2F" w:rsidRPr="00653E2F" w:rsidRDefault="00653E2F" w:rsidP="00653E2F">
      <w:pPr>
        <w:numPr>
          <w:ilvl w:val="0"/>
          <w:numId w:val="1"/>
        </w:numPr>
        <w:spacing w:before="100" w:beforeAutospacing="1" w:after="100" w:afterAutospacing="1"/>
        <w:rPr>
          <w:rFonts w:ascii="ZapfDingbats" w:eastAsia="Times New Roman" w:hAnsi="ZapfDingbats" w:cs="Times New Roman"/>
          <w:color w:val="00FF00"/>
          <w:position w:val="2"/>
          <w:sz w:val="8"/>
          <w:szCs w:val="8"/>
        </w:rPr>
      </w:pPr>
      <w:r w:rsidRPr="00653E2F">
        <w:rPr>
          <w:rFonts w:ascii="ACaslonPro" w:eastAsia="Times New Roman" w:hAnsi="ACaslonPro" w:cs="Times New Roman"/>
          <w:color w:val="00FF00"/>
          <w:position w:val="2"/>
          <w:sz w:val="16"/>
          <w:szCs w:val="16"/>
        </w:rPr>
        <w:t xml:space="preserve">Explain servant leadership. </w:t>
      </w:r>
    </w:p>
    <w:p w14:paraId="191B9F9F" w14:textId="77777777" w:rsidR="00653E2F" w:rsidRPr="00653E2F" w:rsidRDefault="00653E2F" w:rsidP="00653E2F">
      <w:pPr>
        <w:numPr>
          <w:ilvl w:val="0"/>
          <w:numId w:val="1"/>
        </w:numPr>
        <w:spacing w:before="100" w:beforeAutospacing="1" w:after="100" w:afterAutospacing="1"/>
        <w:rPr>
          <w:rFonts w:ascii="ZapfDingbats" w:eastAsia="Times New Roman" w:hAnsi="ZapfDingbats" w:cs="Times New Roman"/>
          <w:color w:val="00FF00"/>
          <w:position w:val="2"/>
          <w:sz w:val="8"/>
          <w:szCs w:val="8"/>
        </w:rPr>
      </w:pPr>
      <w:r w:rsidRPr="00653E2F">
        <w:rPr>
          <w:rFonts w:ascii="ACaslonPro" w:eastAsia="Times New Roman" w:hAnsi="ACaslonPro" w:cs="Times New Roman"/>
          <w:color w:val="00FF00"/>
          <w:position w:val="2"/>
          <w:sz w:val="16"/>
          <w:szCs w:val="16"/>
        </w:rPr>
        <w:t xml:space="preserve">Discuss the qualities and behaviors that contribute to effective management. </w:t>
      </w:r>
    </w:p>
    <w:p w14:paraId="53C747D7"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FF00"/>
          <w:position w:val="2"/>
          <w:sz w:val="8"/>
          <w:szCs w:val="8"/>
        </w:rPr>
      </w:pPr>
      <w:r w:rsidRPr="00653E2F">
        <w:rPr>
          <w:rFonts w:ascii="FuturaStd" w:eastAsia="Times New Roman" w:hAnsi="FuturaStd" w:cs="Times New Roman"/>
          <w:b/>
          <w:bCs/>
          <w:color w:val="FF6619"/>
          <w:position w:val="2"/>
          <w:sz w:val="16"/>
          <w:szCs w:val="16"/>
        </w:rPr>
        <w:t xml:space="preserve">OUTLINE </w:t>
      </w:r>
    </w:p>
    <w:p w14:paraId="1F1BDBF9"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FF00"/>
          <w:position w:val="2"/>
          <w:sz w:val="8"/>
          <w:szCs w:val="8"/>
        </w:rPr>
      </w:pPr>
      <w:r w:rsidRPr="00653E2F">
        <w:rPr>
          <w:rFonts w:ascii="FuturaStd" w:eastAsia="Times New Roman" w:hAnsi="FuturaStd" w:cs="Times New Roman"/>
          <w:b/>
          <w:bCs/>
          <w:color w:val="7FCC00"/>
          <w:position w:val="2"/>
          <w:sz w:val="16"/>
          <w:szCs w:val="16"/>
        </w:rPr>
        <w:t xml:space="preserve">Management </w:t>
      </w:r>
    </w:p>
    <w:p w14:paraId="0AD2A345"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FF00"/>
          <w:position w:val="2"/>
          <w:sz w:val="8"/>
          <w:szCs w:val="8"/>
        </w:rPr>
      </w:pPr>
      <w:r w:rsidRPr="00653E2F">
        <w:rPr>
          <w:rFonts w:ascii="FuturaStd" w:eastAsia="Times New Roman" w:hAnsi="FuturaStd" w:cs="Times New Roman"/>
          <w:color w:val="00FF00"/>
          <w:position w:val="2"/>
          <w:sz w:val="16"/>
          <w:szCs w:val="16"/>
        </w:rPr>
        <w:t xml:space="preserve">Are You Ready to Be a Manager? What Is Management? </w:t>
      </w:r>
    </w:p>
    <w:p w14:paraId="4DCE504D"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FF00"/>
          <w:position w:val="2"/>
          <w:sz w:val="8"/>
          <w:szCs w:val="8"/>
        </w:rPr>
      </w:pPr>
      <w:r w:rsidRPr="00653E2F">
        <w:rPr>
          <w:rFonts w:ascii="ACaslonPro" w:eastAsia="Times New Roman" w:hAnsi="ACaslonPro" w:cs="Times New Roman"/>
          <w:color w:val="00FF00"/>
          <w:position w:val="2"/>
          <w:sz w:val="20"/>
          <w:szCs w:val="20"/>
        </w:rPr>
        <w:t xml:space="preserve">Every nurse needs to be a good leader and a good follower. In Chapter 1 we defined leadership and followership, and showed that even as a new nurse, you can be an effective leader. Not everyone needs to be a manager, however. New graduates are not ready to take on management responsibilities. Once you have had time to develop your clinical and leadership skills, then you can begin to think about taking on management responsibilities (Table 2-1). </w:t>
      </w:r>
    </w:p>
    <w:p w14:paraId="7EEB89B0"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FF00"/>
          <w:position w:val="2"/>
          <w:sz w:val="8"/>
          <w:szCs w:val="8"/>
        </w:rPr>
      </w:pPr>
      <w:r w:rsidRPr="00653E2F">
        <w:rPr>
          <w:rFonts w:ascii="FuturaStd" w:eastAsia="Times New Roman" w:hAnsi="FuturaStd" w:cs="Times New Roman"/>
          <w:b/>
          <w:bCs/>
          <w:color w:val="A30A00"/>
          <w:position w:val="2"/>
          <w:sz w:val="26"/>
          <w:szCs w:val="26"/>
        </w:rPr>
        <w:t xml:space="preserve">Management </w:t>
      </w:r>
    </w:p>
    <w:p w14:paraId="2D0E1E79"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FF00"/>
          <w:position w:val="2"/>
          <w:sz w:val="8"/>
          <w:szCs w:val="8"/>
        </w:rPr>
      </w:pPr>
      <w:r w:rsidRPr="00653E2F">
        <w:rPr>
          <w:rFonts w:ascii="FuturaStd" w:eastAsia="Times New Roman" w:hAnsi="FuturaStd" w:cs="Times New Roman"/>
          <w:color w:val="075E68"/>
          <w:position w:val="2"/>
          <w:sz w:val="22"/>
          <w:szCs w:val="22"/>
        </w:rPr>
        <w:t xml:space="preserve">Are You Ready to Be a Manager? </w:t>
      </w:r>
    </w:p>
    <w:p w14:paraId="11B3D36A"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FF00"/>
          <w:position w:val="2"/>
          <w:sz w:val="8"/>
          <w:szCs w:val="8"/>
        </w:rPr>
      </w:pPr>
      <w:r w:rsidRPr="00653E2F">
        <w:rPr>
          <w:rFonts w:ascii="ACaslonPro" w:eastAsia="Times New Roman" w:hAnsi="ACaslonPro" w:cs="Times New Roman"/>
          <w:color w:val="00FF00"/>
          <w:position w:val="2"/>
          <w:sz w:val="20"/>
          <w:szCs w:val="20"/>
        </w:rPr>
        <w:t xml:space="preserve">For most new nurses, the answer is </w:t>
      </w:r>
      <w:r w:rsidRPr="00653E2F">
        <w:rPr>
          <w:rFonts w:ascii="ACaslonPro" w:eastAsia="Times New Roman" w:hAnsi="ACaslonPro" w:cs="Times New Roman"/>
          <w:i/>
          <w:iCs/>
          <w:color w:val="00FF00"/>
          <w:position w:val="2"/>
          <w:sz w:val="20"/>
          <w:szCs w:val="20"/>
        </w:rPr>
        <w:t xml:space="preserve">no, </w:t>
      </w:r>
      <w:r w:rsidRPr="00653E2F">
        <w:rPr>
          <w:rFonts w:ascii="ACaslonPro" w:eastAsia="Times New Roman" w:hAnsi="ACaslonPro" w:cs="Times New Roman"/>
          <w:color w:val="00FF00"/>
          <w:position w:val="2"/>
          <w:sz w:val="20"/>
          <w:szCs w:val="20"/>
        </w:rPr>
        <w:t xml:space="preserve">you should not accept managerial responsibility. Your clinical skills are still underdeveloped. You need to direct your energies to building your own skills, including your leadership skills, before you begin supervising other people. </w:t>
      </w:r>
    </w:p>
    <w:p w14:paraId="3AC2399D"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FF00"/>
          <w:position w:val="2"/>
          <w:sz w:val="8"/>
          <w:szCs w:val="8"/>
        </w:rPr>
      </w:pPr>
      <w:r w:rsidRPr="00653E2F">
        <w:rPr>
          <w:rFonts w:ascii="FuturaStd" w:eastAsia="Times New Roman" w:hAnsi="FuturaStd" w:cs="Times New Roman"/>
          <w:color w:val="075E68"/>
          <w:position w:val="2"/>
          <w:sz w:val="22"/>
          <w:szCs w:val="22"/>
        </w:rPr>
        <w:t xml:space="preserve">What Is Management? </w:t>
      </w:r>
    </w:p>
    <w:p w14:paraId="4829070A"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FF00"/>
          <w:position w:val="2"/>
          <w:sz w:val="8"/>
          <w:szCs w:val="8"/>
        </w:rPr>
      </w:pPr>
      <w:r w:rsidRPr="00653E2F">
        <w:rPr>
          <w:rFonts w:ascii="ACaslonPro" w:eastAsia="Times New Roman" w:hAnsi="ACaslonPro" w:cs="Times New Roman"/>
          <w:color w:val="00FF00"/>
          <w:position w:val="2"/>
          <w:sz w:val="20"/>
          <w:szCs w:val="20"/>
        </w:rPr>
        <w:t xml:space="preserve">The essence of management is getting work done through others. The classic definition of manage- ment was Henri Fayol’s 1916 list of managerial tasks: planning, organizing, commanding, coordi- nating, and controlling the work of a group of employees (Wren, 1972). But Mintzberg (1989) argued that managers really do whatever is needed </w:t>
      </w:r>
    </w:p>
    <w:p w14:paraId="68FFDDA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color w:val="A30A00"/>
          <w:sz w:val="28"/>
          <w:szCs w:val="28"/>
        </w:rPr>
        <w:t xml:space="preserve">chapter </w:t>
      </w:r>
      <w:r w:rsidRPr="00653E2F">
        <w:rPr>
          <w:rFonts w:ascii="FuturaStd" w:eastAsia="Times New Roman" w:hAnsi="FuturaStd" w:cs="Times New Roman"/>
          <w:color w:val="A30A00"/>
          <w:sz w:val="72"/>
          <w:szCs w:val="72"/>
        </w:rPr>
        <w:t xml:space="preserve">2 </w:t>
      </w:r>
      <w:r w:rsidRPr="00653E2F">
        <w:rPr>
          <w:rFonts w:ascii="MinionPro" w:eastAsia="Times New Roman" w:hAnsi="MinionPro" w:cs="Times New Roman"/>
          <w:color w:val="075E68"/>
          <w:sz w:val="48"/>
          <w:szCs w:val="48"/>
        </w:rPr>
        <w:t xml:space="preserve">Manager </w:t>
      </w:r>
    </w:p>
    <w:p w14:paraId="3AE7336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Scientific Management</w:t>
      </w:r>
      <w:r w:rsidRPr="00653E2F">
        <w:rPr>
          <w:rFonts w:ascii="FuturaStd" w:eastAsia="Times New Roman" w:hAnsi="FuturaStd" w:cs="Times New Roman"/>
          <w:sz w:val="16"/>
          <w:szCs w:val="16"/>
        </w:rPr>
        <w:br/>
        <w:t>Human Relations–Based Management Servant Leadership</w:t>
      </w:r>
      <w:r w:rsidRPr="00653E2F">
        <w:rPr>
          <w:rFonts w:ascii="FuturaStd" w:eastAsia="Times New Roman" w:hAnsi="FuturaStd" w:cs="Times New Roman"/>
          <w:sz w:val="16"/>
          <w:szCs w:val="16"/>
        </w:rPr>
        <w:br/>
      </w:r>
      <w:r w:rsidRPr="00653E2F">
        <w:rPr>
          <w:rFonts w:ascii="FuturaStd" w:eastAsia="Times New Roman" w:hAnsi="FuturaStd" w:cs="Times New Roman"/>
          <w:b/>
          <w:bCs/>
          <w:color w:val="7FCC00"/>
          <w:sz w:val="16"/>
          <w:szCs w:val="16"/>
        </w:rPr>
        <w:t xml:space="preserve">Qualities of an Effective Manager Behaviors of an Effective Manager </w:t>
      </w:r>
      <w:r w:rsidRPr="00653E2F">
        <w:rPr>
          <w:rFonts w:ascii="FuturaStd" w:eastAsia="Times New Roman" w:hAnsi="FuturaStd" w:cs="Times New Roman"/>
          <w:sz w:val="16"/>
          <w:szCs w:val="16"/>
        </w:rPr>
        <w:t>Interpersonal Activities</w:t>
      </w:r>
      <w:r w:rsidRPr="00653E2F">
        <w:rPr>
          <w:rFonts w:ascii="FuturaStd" w:eastAsia="Times New Roman" w:hAnsi="FuturaStd" w:cs="Times New Roman"/>
          <w:sz w:val="16"/>
          <w:szCs w:val="16"/>
        </w:rPr>
        <w:br/>
        <w:t>Decisional Activities</w:t>
      </w:r>
      <w:r w:rsidRPr="00653E2F">
        <w:rPr>
          <w:rFonts w:ascii="FuturaStd" w:eastAsia="Times New Roman" w:hAnsi="FuturaStd" w:cs="Times New Roman"/>
          <w:sz w:val="16"/>
          <w:szCs w:val="16"/>
        </w:rPr>
        <w:br/>
        <w:t>Informational Activities</w:t>
      </w:r>
      <w:r w:rsidRPr="00653E2F">
        <w:rPr>
          <w:rFonts w:ascii="FuturaStd" w:eastAsia="Times New Roman" w:hAnsi="FuturaStd" w:cs="Times New Roman"/>
          <w:sz w:val="16"/>
          <w:szCs w:val="16"/>
        </w:rPr>
        <w:br/>
      </w:r>
      <w:r w:rsidRPr="00653E2F">
        <w:rPr>
          <w:rFonts w:ascii="FuturaStd" w:eastAsia="Times New Roman" w:hAnsi="FuturaStd" w:cs="Times New Roman"/>
          <w:b/>
          <w:bCs/>
          <w:color w:val="7FCC00"/>
          <w:sz w:val="16"/>
          <w:szCs w:val="16"/>
        </w:rPr>
        <w:t xml:space="preserve">Conclusion </w:t>
      </w:r>
    </w:p>
    <w:p w14:paraId="52ABA0D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lastRenderedPageBreak/>
        <w:t xml:space="preserve">to make sure that employees do their work and do it well. Lombardi (2001) added that two-thirds of a manager’s time is spent on people problems. The rest is taken up by budget work, going to meetings, preparing reports, and other administrative tasks. </w:t>
      </w:r>
    </w:p>
    <w:p w14:paraId="1D45B78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A30A00"/>
          <w:sz w:val="26"/>
          <w:szCs w:val="26"/>
        </w:rPr>
        <w:t xml:space="preserve">Management Theories </w:t>
      </w:r>
    </w:p>
    <w:p w14:paraId="169DF5E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There are two major but opposing schools of thought in management: scientific management and the human relations–based approach. As its name implies, the human-relations approach emphasizes the interpersonal aspects of managing people, whereas scientific management emphasizes the task aspects. </w:t>
      </w:r>
    </w:p>
    <w:p w14:paraId="44EF8C8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Scientific Management </w:t>
      </w:r>
    </w:p>
    <w:p w14:paraId="34EF5A0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Almost 100 years ago, Frederick Taylor argued that most jobs could be done more efficiently if they were analyzed thoroughly (Lee, 1980; Locke, 1982). Given a well-designed task and enough incentive to get the work done, workers will be more produc- tive. For example, Taylor promoted the concept of paying people by the piece instead of by the hour. In health care, the equivalent of what Taylor recom- mended would be paying by the number of patients bathed or visited at home rather than by the number of hours worked. This creates an incentive to get </w:t>
      </w:r>
    </w:p>
    <w:p w14:paraId="5D5CCA5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7FCC00"/>
          <w:sz w:val="16"/>
          <w:szCs w:val="16"/>
        </w:rPr>
        <w:t xml:space="preserve">Management Theories </w:t>
      </w:r>
    </w:p>
    <w:p w14:paraId="4BCADCEB" w14:textId="5ABD346C"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"/var/folders/xx/b74wr1s110v7wd4fcc2vzqx80000gn/T/com.microsoft.Word/WebArchiveCopyPasteTempFiles/page30image38391360"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2B7103A2" wp14:editId="01454D90">
            <wp:extent cx="1068070" cy="2743200"/>
            <wp:effectExtent l="0" t="0" r="0" b="0"/>
            <wp:docPr id="69" name="Picture 69" descr="page30image3839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30image3839136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807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"/var/folders/xx/b74wr1s110v7wd4fcc2vzqx80000gn/T/com.microsoft.Word/WebArchiveCopyPasteTempFiles/page30image38391744"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29A525EF" wp14:editId="32B5A99C">
            <wp:extent cx="1068070" cy="2743200"/>
            <wp:effectExtent l="0" t="0" r="0" b="0"/>
            <wp:docPr id="68" name="Picture 68" descr="page30image38391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30image3839174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807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408A0C7F"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color w:val="020202"/>
          <w:sz w:val="20"/>
          <w:szCs w:val="20"/>
        </w:rPr>
        <w:t xml:space="preserve">17 </w:t>
      </w:r>
    </w:p>
    <w:p w14:paraId="0B0E37E9" w14:textId="0E335B4F"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"/var/folders/xx/b74wr1s110v7wd4fcc2vzqx80000gn/T/com.microsoft.Word/WebArchiveCopyPasteTempFiles/page30image61071344"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3FAD11A0" wp14:editId="218F36BB">
            <wp:extent cx="3114675" cy="887095"/>
            <wp:effectExtent l="0" t="0" r="0" b="1905"/>
            <wp:docPr id="67" name="Picture 67" descr="page30image6107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30image610713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14675" cy="887095"/>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3B839BF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0"/>
          <w:szCs w:val="20"/>
        </w:rPr>
        <w:t xml:space="preserve">18 </w:t>
      </w:r>
      <w:r w:rsidRPr="00653E2F">
        <w:rPr>
          <w:rFonts w:ascii="FuturaStd" w:eastAsia="Times New Roman" w:hAnsi="FuturaStd" w:cs="Times New Roman"/>
          <w:sz w:val="16"/>
          <w:szCs w:val="16"/>
        </w:rPr>
        <w:t xml:space="preserve">unit </w:t>
      </w:r>
      <w:r w:rsidRPr="00653E2F">
        <w:rPr>
          <w:rFonts w:ascii="FuturaStd" w:eastAsia="Times New Roman" w:hAnsi="FuturaStd" w:cs="Times New Roman"/>
          <w:sz w:val="20"/>
          <w:szCs w:val="20"/>
        </w:rPr>
        <w:t xml:space="preserve">1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Professional Considerations </w:t>
      </w:r>
    </w:p>
    <w:p w14:paraId="43034705" w14:textId="11BDA96D"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"/var/folders/xx/b74wr1s110v7wd4fcc2vzqx80000gn/T/com.microsoft.Word/WebArchiveCopyPasteTempFiles/page31image44585440"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6D89EBC2" wp14:editId="7B47EF8B">
            <wp:extent cx="2181860" cy="135890"/>
            <wp:effectExtent l="0" t="0" r="2540" b="3810"/>
            <wp:docPr id="66" name="Picture 66" descr="page31image44585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31image445854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1860" cy="13589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6FC8610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FFFFFF"/>
          <w:sz w:val="14"/>
          <w:szCs w:val="14"/>
          <w:shd w:val="clear" w:color="auto" w:fill="0000FF"/>
        </w:rPr>
        <w:lastRenderedPageBreak/>
        <w:t xml:space="preserve">table 2-1 </w:t>
      </w:r>
    </w:p>
    <w:p w14:paraId="754058E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75E68"/>
          <w:sz w:val="20"/>
          <w:szCs w:val="20"/>
        </w:rPr>
        <w:t xml:space="preserve">Differences Between Leadership and Management </w:t>
      </w:r>
    </w:p>
    <w:p w14:paraId="409FC22E" w14:textId="404E4F82"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"/var/folders/xx/b74wr1s110v7wd4fcc2vzqx80000gn/T/com.microsoft.Word/WebArchiveCopyPasteTempFiles/page31image38279360"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5F265A00" wp14:editId="00BBD105">
            <wp:extent cx="461645" cy="977900"/>
            <wp:effectExtent l="0" t="0" r="0" b="0"/>
            <wp:docPr id="65" name="Picture 65" descr="page31image38279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31image382793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645" cy="9779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"/var/folders/xx/b74wr1s110v7wd4fcc2vzqx80000gn/T/com.microsoft.Word/WebArchiveCopyPasteTempFiles/page31image38279552"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5D579AD3" wp14:editId="721E0320">
            <wp:extent cx="5395595" cy="2743200"/>
            <wp:effectExtent l="0" t="0" r="1905" b="0"/>
            <wp:docPr id="64" name="Picture 64" descr="page31image38279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31image3827955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5595"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4BE928F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000FF"/>
          <w:sz w:val="16"/>
          <w:szCs w:val="16"/>
        </w:rPr>
        <w:t xml:space="preserve">p </w:t>
      </w:r>
    </w:p>
    <w:p w14:paraId="4AD565C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Based on influence and shared meaning An informal role</w:t>
      </w:r>
      <w:r w:rsidRPr="00653E2F">
        <w:rPr>
          <w:rFonts w:ascii="FuturaStd" w:eastAsia="Times New Roman" w:hAnsi="FuturaStd" w:cs="Times New Roman"/>
          <w:sz w:val="16"/>
          <w:szCs w:val="16"/>
        </w:rPr>
        <w:br/>
        <w:t>An achieved position</w:t>
      </w:r>
      <w:r w:rsidRPr="00653E2F">
        <w:rPr>
          <w:rFonts w:ascii="FuturaStd" w:eastAsia="Times New Roman" w:hAnsi="FuturaStd" w:cs="Times New Roman"/>
          <w:sz w:val="16"/>
          <w:szCs w:val="16"/>
        </w:rPr>
        <w:br/>
        <w:t>Part of every nurse’s responsibility</w:t>
      </w:r>
      <w:r w:rsidRPr="00653E2F">
        <w:rPr>
          <w:rFonts w:ascii="FuturaStd" w:eastAsia="Times New Roman" w:hAnsi="FuturaStd" w:cs="Times New Roman"/>
          <w:sz w:val="16"/>
          <w:szCs w:val="16"/>
        </w:rPr>
        <w:br/>
        <w:t xml:space="preserve">Requires initiative and independent thinking </w:t>
      </w:r>
    </w:p>
    <w:p w14:paraId="77AF035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000FF"/>
          <w:sz w:val="16"/>
          <w:szCs w:val="16"/>
        </w:rPr>
        <w:t xml:space="preserve">Management </w:t>
      </w:r>
    </w:p>
    <w:p w14:paraId="101F542F"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Based on authority</w:t>
      </w:r>
      <w:r w:rsidRPr="00653E2F">
        <w:rPr>
          <w:rFonts w:ascii="FuturaStd" w:eastAsia="Times New Roman" w:hAnsi="FuturaStd" w:cs="Times New Roman"/>
          <w:sz w:val="16"/>
          <w:szCs w:val="16"/>
        </w:rPr>
        <w:br/>
        <w:t>A formally designated role</w:t>
      </w:r>
      <w:r w:rsidRPr="00653E2F">
        <w:rPr>
          <w:rFonts w:ascii="FuturaStd" w:eastAsia="Times New Roman" w:hAnsi="FuturaStd" w:cs="Times New Roman"/>
          <w:sz w:val="16"/>
          <w:szCs w:val="16"/>
        </w:rPr>
        <w:br/>
        <w:t>As assigned position</w:t>
      </w:r>
      <w:r w:rsidRPr="00653E2F">
        <w:rPr>
          <w:rFonts w:ascii="FuturaStd" w:eastAsia="Times New Roman" w:hAnsi="FuturaStd" w:cs="Times New Roman"/>
          <w:sz w:val="16"/>
          <w:szCs w:val="16"/>
        </w:rPr>
        <w:br/>
        <w:t xml:space="preserve">Usually responsible for budgets, appraising, hiring, and firing people Improved by the use of effective leadership skills </w:t>
      </w:r>
    </w:p>
    <w:p w14:paraId="1CED381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000FF"/>
          <w:sz w:val="16"/>
          <w:szCs w:val="16"/>
        </w:rPr>
        <w:t xml:space="preserve">Leadershi </w:t>
      </w:r>
    </w:p>
    <w:p w14:paraId="538C7F00" w14:textId="71932F86"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lastRenderedPageBreak/>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"/var/folders/xx/b74wr1s110v7wd4fcc2vzqx80000gn/T/com.microsoft.Word/WebArchiveCopyPasteTempFiles/page31image38279744"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04DB6EEB" wp14:editId="4C303CA4">
            <wp:extent cx="5395595" cy="2743200"/>
            <wp:effectExtent l="0" t="0" r="1905" b="0"/>
            <wp:docPr id="63" name="Picture 63" descr="page31image38279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31image382797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5595"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"/var/folders/xx/b74wr1s110v7wd4fcc2vzqx80000gn/T/com.microsoft.Word/WebArchiveCopyPasteTempFiles/page31image38279936"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713ACDD0" wp14:editId="5218F8A4">
            <wp:extent cx="5395595" cy="2743200"/>
            <wp:effectExtent l="0" t="0" r="1905" b="0"/>
            <wp:docPr id="62" name="Picture 62" descr="page31image38279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31image382799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5595"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4FF0FDE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 most work done in the least amount of time. Taylorism stresses that there is a best way to do a job, which is usually the fastest way to do the job as well (Dantley, 2005). </w:t>
      </w:r>
    </w:p>
    <w:p w14:paraId="6B48D3F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Work is analyzed to improve efficiency. In health care, for example, there has been much discussion about the time and effort it takes to bring a disabled patient to physical therapy versus sending the ther- apisttothepatient’shomeorinpatientunit.Reduc- ing staff or increasing the productivity of existing employees to save money is also based on this kind of thinking. </w:t>
      </w:r>
    </w:p>
    <w:p w14:paraId="63F8972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Nurse managers who use the principles of sci- entific management will pay particular attention to the types of assessments and treatments done on the unit, the equipment needed to do them effi- ciently, and the strategies that would facilitate more efficient accomplishment of these tasks. Typically, these nurse managers keep careful records of the amount of work accomplished and reward those who accomplish the most. </w:t>
      </w:r>
    </w:p>
    <w:p w14:paraId="52CB86B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Human Relations–Based Management </w:t>
      </w:r>
    </w:p>
    <w:p w14:paraId="64FBE24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lastRenderedPageBreak/>
        <w:t xml:space="preserve">McGregor’s theories X and Y provide a good con- trast between scientific management and human relations–based management. Like Taylorism, Theory X reflects a common attitude among man- agers that most people do not want to work very hard and that the manager’s job is to make sure that they do work hard (McGregor, 1960). To accom- plish this, according to Theory X, a manager needs to employ strict rules, constant supervision, and the threat of punishment (reprimands, withheld raises, and threats of job loss) to create industrious, con- scientious workers. </w:t>
      </w:r>
    </w:p>
    <w:p w14:paraId="2E23FEA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Theory Y, which McGregor preferred, is the opposite viewpoint. Theory Y managers believe that the work itself can be motivating and that people will work hard if their managers provide a supportive environment. A Theory Y manager </w:t>
      </w:r>
    </w:p>
    <w:p w14:paraId="35EC3B9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emphasizes guidance rather than control, develop- ment rather than close supervision, and reward rather than punishment (Fig. 2.1). A Theory Y nurse manager is concerned with keeping employee morale as high as possible, assuming that satisfied, motivated employees will do the best work. Employ- ees’ attitudes, opinions, hopes, and fears are impor- tant to this type of nurse manager. Considerable effort is expended to work out conflicts and promote mutual understanding to provide an environment in which people can do their best work. </w:t>
      </w:r>
    </w:p>
    <w:p w14:paraId="42B7905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Servant Leadership </w:t>
      </w:r>
    </w:p>
    <w:p w14:paraId="172903B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 emphasis on people and interpersonal rela- tionships is taken one step further by Greenleaf (2004), who wrote an essay in 1970 that began the servant leadership movement. Like transforma- tional and caring leadership, servant leadership has a special appeal to nurses and other health-care </w:t>
      </w:r>
    </w:p>
    <w:p w14:paraId="1B80607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Helvetica" w:eastAsia="Times New Roman" w:hAnsi="Helvetica" w:cs="Times New Roman"/>
          <w:b/>
          <w:bCs/>
          <w:color w:val="FFFFFF"/>
          <w:sz w:val="28"/>
          <w:szCs w:val="28"/>
        </w:rPr>
        <w:t xml:space="preserve">THEORY X </w:t>
      </w:r>
    </w:p>
    <w:p w14:paraId="27019F0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Helvetica" w:eastAsia="Times New Roman" w:hAnsi="Helvetica" w:cs="Times New Roman"/>
          <w:b/>
          <w:bCs/>
          <w:sz w:val="18"/>
          <w:szCs w:val="18"/>
        </w:rPr>
        <w:t xml:space="preserve">Work is something to be avoided People want to do as little as possible Use control-supervision-punishment </w:t>
      </w:r>
    </w:p>
    <w:p w14:paraId="043EBBA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Helvetica" w:eastAsia="Times New Roman" w:hAnsi="Helvetica" w:cs="Times New Roman"/>
          <w:b/>
          <w:bCs/>
          <w:color w:val="FFFFFF"/>
          <w:sz w:val="28"/>
          <w:szCs w:val="28"/>
        </w:rPr>
        <w:t xml:space="preserve">THEORY Y </w:t>
      </w:r>
    </w:p>
    <w:p w14:paraId="75B246B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Helvetica" w:eastAsia="Times New Roman" w:hAnsi="Helvetica" w:cs="Times New Roman"/>
          <w:b/>
          <w:bCs/>
          <w:sz w:val="18"/>
          <w:szCs w:val="18"/>
        </w:rPr>
        <w:t xml:space="preserve">The work itself can be motivating People really want to do their job well Use guidance-development-reward </w:t>
      </w:r>
    </w:p>
    <w:p w14:paraId="534FD22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000FF"/>
          <w:sz w:val="14"/>
          <w:szCs w:val="14"/>
        </w:rPr>
        <w:t xml:space="preserve">Figure 2.1 </w:t>
      </w:r>
      <w:r w:rsidRPr="00653E2F">
        <w:rPr>
          <w:rFonts w:ascii="ACaslonPro" w:eastAsia="Times New Roman" w:hAnsi="ACaslonPro" w:cs="Times New Roman"/>
          <w:sz w:val="18"/>
          <w:szCs w:val="18"/>
        </w:rPr>
        <w:t xml:space="preserve">Theory X versus Theory Y. </w:t>
      </w:r>
    </w:p>
    <w:p w14:paraId="383D8C11" w14:textId="70492163"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"/var/folders/xx/b74wr1s110v7wd4fcc2vzqx80000gn/T/com.microsoft.Word/WebArchiveCopyPasteTempFiles/page31image38394816"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77F69759" wp14:editId="25635F3B">
            <wp:extent cx="2435225" cy="289560"/>
            <wp:effectExtent l="0" t="0" r="3175" b="2540"/>
            <wp:docPr id="61" name="Picture 61" descr="page31image38394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31image383948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35225" cy="28956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"/var/folders/xx/b74wr1s110v7wd4fcc2vzqx80000gn/T/com.microsoft.Word/WebArchiveCopyPasteTempFiles/page31image38395008"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4A193C06" wp14:editId="6DFCA357">
            <wp:extent cx="2435225" cy="1131570"/>
            <wp:effectExtent l="0" t="0" r="3175" b="0"/>
            <wp:docPr id="60" name="Picture 60" descr="page31image3839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31image3839500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35225" cy="113157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"/var/folders/xx/b74wr1s110v7wd4fcc2vzqx80000gn/T/com.microsoft.Word/WebArchiveCopyPasteTempFiles/page31image38395200"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45209469" wp14:editId="2275D435">
            <wp:extent cx="2435225" cy="289560"/>
            <wp:effectExtent l="0" t="0" r="3175" b="2540"/>
            <wp:docPr id="59" name="Picture 59" descr="page31image38395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31image3839520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35225" cy="28956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"/var/folders/xx/b74wr1s110v7wd4fcc2vzqx80000gn/T/com.microsoft.Word/WebArchiveCopyPasteTempFiles/page31image38395392"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0DEA5F02" wp14:editId="0F7B9DB1">
            <wp:extent cx="2435225" cy="1131570"/>
            <wp:effectExtent l="0" t="0" r="3175" b="0"/>
            <wp:docPr id="58" name="Picture 58" descr="page31image38395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31image3839539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35225" cy="113157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2C332B9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professionals. Despite its name, servant leadership applies more to people in supervisory or adminis- trative positions than to people in staff positions. </w:t>
      </w:r>
    </w:p>
    <w:p w14:paraId="421CEBC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lastRenderedPageBreak/>
        <w:t xml:space="preserve">The servant leader–style manager believes that people have value as people, not just as workers (Spears &amp; Lawrence, 2004). The manager is com- mitted to improving the way each employee is treated at work. The attitude is “employee first,” not “manager first.” So the manager sees himself or herself as being there for the employee. Here is an example: </w:t>
      </w:r>
    </w:p>
    <w:p w14:paraId="6A8EA8B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i/>
          <w:iCs/>
          <w:sz w:val="20"/>
          <w:szCs w:val="20"/>
        </w:rPr>
        <w:t xml:space="preserve">Hope Marshall is a relatively new staff nurse at Jefferson County Hospital. When she was invited to be the staff nurse representative on the search com- mittee for a new chief nursing officer, she was very excited about being on a committee with so many managerial and administrative people. As the interviews of candidates began, she focused on what they had to say. All the candidates had impressive résumés and spoke confidently about their accom- plishments. Hope was impressed but did not yet prefer one over the other. Then the final candidate spoke to the committee. “My primary job,” he said, “is to make it possible for each nurse to do the very best job he or she can do. I am here to make their work easier, to remove barriers, and to provide them with whatever they need to provide the best patient care possible.” Hope had never heard the term servant leadership, but she knew immediately that this candidate, who articulated the essence of servant leadership, was the one she would support for this important position. </w:t>
      </w:r>
    </w:p>
    <w:p w14:paraId="7DEAF90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A30A00"/>
          <w:sz w:val="26"/>
          <w:szCs w:val="26"/>
        </w:rPr>
        <w:t xml:space="preserve">Qualities of an Effective Manager </w:t>
      </w:r>
    </w:p>
    <w:p w14:paraId="3A6144A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Two-thirds of people who leave their jobs say the main reason was an ineffective or incompetent manager (Hunter, 2004). A survey of 3,266 newly licensed nurses found that lack of support from their manager was the nurses’ primary reason for leaving their position, followed by a stressful work environment. Following are some of the indicators of their stressful work environment: </w:t>
      </w:r>
    </w:p>
    <w:p w14:paraId="4092DDAF" w14:textId="77777777" w:rsidR="00653E2F" w:rsidRPr="00653E2F" w:rsidRDefault="00653E2F" w:rsidP="00653E2F">
      <w:pPr>
        <w:numPr>
          <w:ilvl w:val="0"/>
          <w:numId w:val="2"/>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25% reported at least one needle stick in their first year. </w:t>
      </w:r>
    </w:p>
    <w:p w14:paraId="5D4F4C74" w14:textId="77777777" w:rsidR="00653E2F" w:rsidRPr="00653E2F" w:rsidRDefault="00653E2F" w:rsidP="00653E2F">
      <w:pPr>
        <w:numPr>
          <w:ilvl w:val="0"/>
          <w:numId w:val="2"/>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39% reported at least one strain or sprain. </w:t>
      </w:r>
    </w:p>
    <w:p w14:paraId="4634DBBA" w14:textId="77777777" w:rsidR="00653E2F" w:rsidRPr="00653E2F" w:rsidRDefault="00653E2F" w:rsidP="00653E2F">
      <w:pPr>
        <w:numPr>
          <w:ilvl w:val="0"/>
          <w:numId w:val="2"/>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62% reported experiencing verbal abuse. </w:t>
      </w:r>
    </w:p>
    <w:p w14:paraId="74DE4363" w14:textId="77777777" w:rsidR="00653E2F" w:rsidRPr="00653E2F" w:rsidRDefault="00653E2F" w:rsidP="00653E2F">
      <w:pPr>
        <w:numPr>
          <w:ilvl w:val="0"/>
          <w:numId w:val="2"/>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25% reported a shortage of supplies needed to </w:t>
      </w:r>
    </w:p>
    <w:p w14:paraId="0DCC1E7C"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do their work. </w:t>
      </w:r>
    </w:p>
    <w:p w14:paraId="6ABA35B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These results underscore the importance of having effective nurse managers who can create an envi- ronment in which new nurses thrive (Kovner, Brewer, Fairchild, et al., 2007). </w:t>
      </w:r>
    </w:p>
    <w:p w14:paraId="04AB8FF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Nurse managers hold pivotal positions in hospi- tals, nursing homes, and other health-care facilities. They report to the administration of these facilities, coordinate with a myriad of departments (the lab, dietary, pharmacy, and so forth) and care providers (physicians, nurse practitioners, therapists, and so forth), and supervise a staff that provides care around the clock. You can see why their effective- ness has considerable influence on the quality of the care provided under their direction (Trossman, 2011). </w:t>
      </w:r>
    </w:p>
    <w:p w14:paraId="44BDB79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Consider for a moment the knowledge and skills needed by a nurse manager: </w:t>
      </w:r>
    </w:p>
    <w:p w14:paraId="3D38E7AF"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sz w:val="20"/>
          <w:szCs w:val="20"/>
        </w:rPr>
        <w:t xml:space="preserve">Leadership, especially relationship building, teamwork, and mentoring skills </w:t>
      </w:r>
    </w:p>
    <w:p w14:paraId="4B1CF78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sz w:val="20"/>
          <w:szCs w:val="20"/>
        </w:rPr>
        <w:t xml:space="preserve">Professionalism, including advocacy for nursing staff and support of nursing roles and ethical practice </w:t>
      </w:r>
    </w:p>
    <w:p w14:paraId="3150861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sz w:val="20"/>
          <w:szCs w:val="20"/>
        </w:rPr>
        <w:t xml:space="preserve">Advanced clinical expertise including quality improvement and evidence-based practice </w:t>
      </w:r>
    </w:p>
    <w:p w14:paraId="7934822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sz w:val="20"/>
          <w:szCs w:val="20"/>
        </w:rPr>
        <w:t xml:space="preserve">Human resource management expertise including staff development, and performance appraisals </w:t>
      </w:r>
    </w:p>
    <w:p w14:paraId="6E72310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sz w:val="20"/>
          <w:szCs w:val="20"/>
        </w:rPr>
        <w:t>Financial management</w:t>
      </w:r>
      <w:r w:rsidRPr="00653E2F">
        <w:rPr>
          <w:rFonts w:ascii="ACaslonPro" w:eastAsia="Times New Roman" w:hAnsi="ACaslonPro" w:cs="Times New Roman"/>
          <w:sz w:val="20"/>
          <w:szCs w:val="20"/>
        </w:rPr>
        <w:br/>
      </w: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sz w:val="20"/>
          <w:szCs w:val="20"/>
        </w:rPr>
        <w:t xml:space="preserve">Coordination of patient care, including </w:t>
      </w:r>
    </w:p>
    <w:p w14:paraId="2DCF434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lastRenderedPageBreak/>
        <w:t xml:space="preserve">scheduling, work flow, work assignments, monitoring the quality of care provided, and documentation of that care ( Jones, 2010; Fennimore &amp; Wolf, 2011) </w:t>
      </w:r>
    </w:p>
    <w:p w14:paraId="035549D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 effective nurse manager possesses a combina- tion of qualities: leadership, clinical expertise, and business sense. None of these alone is enough; it is the combination that prepares an individual for the complex task of managing a unit or team of health- care providers. Consider each of these briefly: </w:t>
      </w:r>
    </w:p>
    <w:p w14:paraId="79FDD24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b/>
          <w:bCs/>
          <w:sz w:val="20"/>
          <w:szCs w:val="20"/>
        </w:rPr>
        <w:t xml:space="preserve">Leadership. </w:t>
      </w:r>
      <w:r w:rsidRPr="00653E2F">
        <w:rPr>
          <w:rFonts w:ascii="ACaslonPro" w:eastAsia="Times New Roman" w:hAnsi="ACaslonPro" w:cs="Times New Roman"/>
          <w:sz w:val="20"/>
          <w:szCs w:val="20"/>
        </w:rPr>
        <w:t xml:space="preserve">All of the people skills of the leader are essential to the effective manager. </w:t>
      </w:r>
    </w:p>
    <w:p w14:paraId="1978071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b/>
          <w:bCs/>
          <w:sz w:val="20"/>
          <w:szCs w:val="20"/>
        </w:rPr>
        <w:t xml:space="preserve">Clinical expertise. </w:t>
      </w:r>
      <w:r w:rsidRPr="00653E2F">
        <w:rPr>
          <w:rFonts w:ascii="ACaslonPro" w:eastAsia="Times New Roman" w:hAnsi="ACaslonPro" w:cs="Times New Roman"/>
          <w:sz w:val="20"/>
          <w:szCs w:val="20"/>
        </w:rPr>
        <w:t xml:space="preserve">Without possessing clinical expertise oneself, it is very difficult to help others develop their skills and evaluate how well they have done. It is probably not necessary (or even possible) to know everything all other professionals on the team know, but it is important to be able to assess </w:t>
      </w:r>
    </w:p>
    <w:p w14:paraId="2CB406E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chapter </w:t>
      </w:r>
      <w:r w:rsidRPr="00653E2F">
        <w:rPr>
          <w:rFonts w:ascii="FuturaStd" w:eastAsia="Times New Roman" w:hAnsi="FuturaStd" w:cs="Times New Roman"/>
          <w:sz w:val="20"/>
          <w:szCs w:val="20"/>
        </w:rPr>
        <w:t xml:space="preserve">2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Manager </w:t>
      </w:r>
      <w:r w:rsidRPr="00653E2F">
        <w:rPr>
          <w:rFonts w:ascii="ACaslonPro" w:eastAsia="Times New Roman" w:hAnsi="ACaslonPro" w:cs="Times New Roman"/>
          <w:b/>
          <w:bCs/>
          <w:i/>
          <w:iCs/>
          <w:sz w:val="20"/>
          <w:szCs w:val="20"/>
        </w:rPr>
        <w:t xml:space="preserve">19 </w:t>
      </w:r>
    </w:p>
    <w:p w14:paraId="1179525D" w14:textId="271BCEDB"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"/var/folders/xx/b74wr1s110v7wd4fcc2vzqx80000gn/T/com.microsoft.Word/WebArchiveCopyPasteTempFiles/page32image38281856"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734B818D" wp14:editId="3B32CE29">
            <wp:extent cx="1068070" cy="2743200"/>
            <wp:effectExtent l="0" t="0" r="0" b="0"/>
            <wp:docPr id="57" name="Picture 57" descr="page32image38281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ge32image3828185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807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7659851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0"/>
          <w:szCs w:val="20"/>
        </w:rPr>
        <w:t xml:space="preserve">20 </w:t>
      </w:r>
    </w:p>
    <w:p w14:paraId="63538BE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unit </w:t>
      </w:r>
      <w:r w:rsidRPr="00653E2F">
        <w:rPr>
          <w:rFonts w:ascii="FuturaStd" w:eastAsia="Times New Roman" w:hAnsi="FuturaStd" w:cs="Times New Roman"/>
          <w:sz w:val="20"/>
          <w:szCs w:val="20"/>
        </w:rPr>
        <w:t xml:space="preserve">1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Professional Considerations </w:t>
      </w:r>
    </w:p>
    <w:p w14:paraId="172A56B7" w14:textId="2079F479"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lastRenderedPageBreak/>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"/var/folders/xx/b74wr1s110v7wd4fcc2vzqx80000gn/T/com.microsoft.Word/WebArchiveCopyPasteTempFiles/page33image60872720"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32B5F669" wp14:editId="7026EDB4">
            <wp:extent cx="2435225" cy="289560"/>
            <wp:effectExtent l="0" t="0" r="3175" b="2540"/>
            <wp:docPr id="56" name="Picture 56" descr="page33image6087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ge33image608727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35225" cy="28956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"/var/folders/xx/b74wr1s110v7wd4fcc2vzqx80000gn/T/com.microsoft.Word/WebArchiveCopyPasteTempFiles/page33image38288576"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09BADB1C" wp14:editId="69B3FF43">
            <wp:extent cx="2435225" cy="977900"/>
            <wp:effectExtent l="0" t="0" r="3175" b="0"/>
            <wp:docPr id="55" name="Picture 55" descr="page33image38288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ge33image3828857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35225" cy="9779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"/var/folders/xx/b74wr1s110v7wd4fcc2vzqx80000gn/T/com.microsoft.Word/WebArchiveCopyPasteTempFiles/page33image44588768"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60748727" wp14:editId="38EF0D33">
            <wp:extent cx="2435225" cy="3023870"/>
            <wp:effectExtent l="0" t="0" r="3175" b="0"/>
            <wp:docPr id="54" name="Picture 54" descr="page33image44588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ge33image4458876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35225" cy="302387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4E4D566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sz w:val="12"/>
          <w:szCs w:val="12"/>
        </w:rPr>
        <w:t>■</w:t>
      </w:r>
      <w:r w:rsidRPr="00653E2F">
        <w:rPr>
          <w:rFonts w:ascii="ZapfDingbats" w:eastAsia="Times New Roman" w:hAnsi="ZapfDingbats" w:cs="Times New Roman"/>
          <w:color w:val="0000FF"/>
          <w:sz w:val="12"/>
          <w:szCs w:val="12"/>
        </w:rPr>
        <w:t xml:space="preserve"> </w:t>
      </w:r>
    </w:p>
    <w:p w14:paraId="07F7FEB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the effectiveness of their work in terms of patient outcomes.</w:t>
      </w:r>
      <w:r w:rsidRPr="00653E2F">
        <w:rPr>
          <w:rFonts w:ascii="ACaslonPro" w:eastAsia="Times New Roman" w:hAnsi="ACaslonPro" w:cs="Times New Roman"/>
          <w:sz w:val="20"/>
          <w:szCs w:val="20"/>
        </w:rPr>
        <w:br/>
      </w:r>
      <w:r w:rsidRPr="00653E2F">
        <w:rPr>
          <w:rFonts w:ascii="ACaslonPro" w:eastAsia="Times New Roman" w:hAnsi="ACaslonPro" w:cs="Times New Roman"/>
          <w:b/>
          <w:bCs/>
          <w:sz w:val="20"/>
          <w:szCs w:val="20"/>
        </w:rPr>
        <w:t xml:space="preserve">Business sense. </w:t>
      </w:r>
      <w:r w:rsidRPr="00653E2F">
        <w:rPr>
          <w:rFonts w:ascii="ACaslonPro" w:eastAsia="Times New Roman" w:hAnsi="ACaslonPro" w:cs="Times New Roman"/>
          <w:sz w:val="20"/>
          <w:szCs w:val="20"/>
        </w:rPr>
        <w:t xml:space="preserve">Nurse managers also need to be concerned with the “bottom line,” with the cost of providing the care that is given, especially in comparison with the benefit received from that care and the funding available to pay for it, whether from private insurance, Medicare, Medicaid, or out of the patient’s own pocket. This is a complex task that requires knowledge of budgeting, staffing, and measurement of patient outcomes. </w:t>
      </w:r>
    </w:p>
    <w:p w14:paraId="4FF46C4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Helvetica" w:eastAsia="Times New Roman" w:hAnsi="Helvetica" w:cs="Times New Roman"/>
          <w:b/>
          <w:bCs/>
          <w:color w:val="FFFFFF"/>
          <w:sz w:val="26"/>
          <w:szCs w:val="26"/>
        </w:rPr>
        <w:t xml:space="preserve">Informational </w:t>
      </w:r>
    </w:p>
    <w:p w14:paraId="6EEAD4E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Helvetica" w:eastAsia="Times New Roman" w:hAnsi="Helvetica" w:cs="Times New Roman"/>
          <w:b/>
          <w:bCs/>
          <w:sz w:val="18"/>
          <w:szCs w:val="18"/>
        </w:rPr>
        <w:t xml:space="preserve">Representing employees Representing the organization Public relations monitoring </w:t>
      </w:r>
    </w:p>
    <w:p w14:paraId="41F69E7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Helvetica" w:eastAsia="Times New Roman" w:hAnsi="Helvetica" w:cs="Times New Roman"/>
          <w:b/>
          <w:bCs/>
          <w:color w:val="FFFFFF"/>
          <w:sz w:val="26"/>
          <w:szCs w:val="26"/>
        </w:rPr>
        <w:t xml:space="preserve">Interpersonal </w:t>
      </w:r>
    </w:p>
    <w:p w14:paraId="2D29776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Helvetica" w:eastAsia="Times New Roman" w:hAnsi="Helvetica" w:cs="Times New Roman"/>
          <w:b/>
          <w:bCs/>
          <w:sz w:val="18"/>
          <w:szCs w:val="18"/>
        </w:rPr>
        <w:t>Networking</w:t>
      </w:r>
      <w:r w:rsidRPr="00653E2F">
        <w:rPr>
          <w:rFonts w:ascii="Helvetica" w:eastAsia="Times New Roman" w:hAnsi="Helvetica" w:cs="Times New Roman"/>
          <w:b/>
          <w:bCs/>
          <w:sz w:val="18"/>
          <w:szCs w:val="18"/>
        </w:rPr>
        <w:br/>
        <w:t xml:space="preserve">Conflict negotiation and resolution Employee development and coaching Rewards and punishment </w:t>
      </w:r>
    </w:p>
    <w:p w14:paraId="2AD7355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Helvetica" w:eastAsia="Times New Roman" w:hAnsi="Helvetica" w:cs="Times New Roman"/>
          <w:b/>
          <w:bCs/>
          <w:color w:val="FFFFFF"/>
          <w:sz w:val="26"/>
          <w:szCs w:val="26"/>
        </w:rPr>
        <w:t xml:space="preserve">Decisional </w:t>
      </w:r>
    </w:p>
    <w:p w14:paraId="1D25180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Helvetica" w:eastAsia="Times New Roman" w:hAnsi="Helvetica" w:cs="Times New Roman"/>
          <w:b/>
          <w:bCs/>
          <w:sz w:val="18"/>
          <w:szCs w:val="18"/>
        </w:rPr>
        <w:t>Employee evaluation Resource allocation</w:t>
      </w:r>
      <w:r w:rsidRPr="00653E2F">
        <w:rPr>
          <w:rFonts w:ascii="Helvetica" w:eastAsia="Times New Roman" w:hAnsi="Helvetica" w:cs="Times New Roman"/>
          <w:b/>
          <w:bCs/>
          <w:sz w:val="18"/>
          <w:szCs w:val="18"/>
        </w:rPr>
        <w:br/>
        <w:t>Hiring and firing employees Planning</w:t>
      </w:r>
      <w:r w:rsidRPr="00653E2F">
        <w:rPr>
          <w:rFonts w:ascii="Helvetica" w:eastAsia="Times New Roman" w:hAnsi="Helvetica" w:cs="Times New Roman"/>
          <w:b/>
          <w:bCs/>
          <w:sz w:val="18"/>
          <w:szCs w:val="18"/>
        </w:rPr>
        <w:br/>
        <w:t xml:space="preserve">Job analysis and redesign </w:t>
      </w:r>
    </w:p>
    <w:p w14:paraId="33188A5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000FF"/>
          <w:sz w:val="14"/>
          <w:szCs w:val="14"/>
        </w:rPr>
        <w:t xml:space="preserve">Figure 2.2 </w:t>
      </w:r>
      <w:r w:rsidRPr="00653E2F">
        <w:rPr>
          <w:rFonts w:ascii="ACaslonPro" w:eastAsia="Times New Roman" w:hAnsi="ACaslonPro" w:cs="Times New Roman"/>
          <w:sz w:val="18"/>
          <w:szCs w:val="18"/>
        </w:rPr>
        <w:t xml:space="preserve">Keys to effective management. </w:t>
      </w:r>
    </w:p>
    <w:p w14:paraId="4F7FB00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lastRenderedPageBreak/>
        <w:t xml:space="preserve">sight,” or connection, between what they do as managers, patient care, and the mission of the organization (Mackoff &amp; Triolo, 2008, p. 123). In other words, they need to keep in mind how their interactions with both their staff members and with administration affects the care provided to the patients for whom they are responsible. </w:t>
      </w:r>
    </w:p>
    <w:p w14:paraId="7090CB8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b/>
          <w:bCs/>
          <w:sz w:val="20"/>
          <w:szCs w:val="20"/>
        </w:rPr>
        <w:t xml:space="preserve">Conflict negotiation and resolution. </w:t>
      </w:r>
      <w:r w:rsidRPr="00653E2F">
        <w:rPr>
          <w:rFonts w:ascii="ACaslonPro" w:eastAsia="Times New Roman" w:hAnsi="ACaslonPro" w:cs="Times New Roman"/>
          <w:sz w:val="20"/>
          <w:szCs w:val="20"/>
        </w:rPr>
        <w:t xml:space="preserve">Managers often find themselves resolving conflicts among employees, patients, and administration. Ineffective managers often ignore people’s emotional side or mismanage feelings in the workplace (Welch &amp; Welch, 2008). </w:t>
      </w:r>
    </w:p>
    <w:p w14:paraId="7DDC720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b/>
          <w:bCs/>
          <w:sz w:val="20"/>
          <w:szCs w:val="20"/>
        </w:rPr>
        <w:t xml:space="preserve">Employee development. </w:t>
      </w:r>
      <w:r w:rsidRPr="00653E2F">
        <w:rPr>
          <w:rFonts w:ascii="ACaslonPro" w:eastAsia="Times New Roman" w:hAnsi="ACaslonPro" w:cs="Times New Roman"/>
          <w:sz w:val="20"/>
          <w:szCs w:val="20"/>
        </w:rPr>
        <w:t xml:space="preserve">Managers are responsible for providing for the continuing learning and upgrading of the skills of their employees. </w:t>
      </w:r>
    </w:p>
    <w:p w14:paraId="0D0F3FC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b/>
          <w:bCs/>
          <w:sz w:val="20"/>
          <w:szCs w:val="20"/>
        </w:rPr>
        <w:t xml:space="preserve">Coaching. </w:t>
      </w:r>
      <w:r w:rsidRPr="00653E2F">
        <w:rPr>
          <w:rFonts w:ascii="ACaslonPro" w:eastAsia="Times New Roman" w:hAnsi="ACaslonPro" w:cs="Times New Roman"/>
          <w:sz w:val="20"/>
          <w:szCs w:val="20"/>
        </w:rPr>
        <w:t xml:space="preserve">It is often said that employees are the organization’s most valuable asset (Shirey, 2007). Coaching is one way in which nurse managers can share their experience and expertise with the rest of the staff. The goal is to nurture the growth and development of the </w:t>
      </w:r>
    </w:p>
    <w:p w14:paraId="1D0D6E10" w14:textId="38DF2B48"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"/var/folders/xx/b74wr1s110v7wd4fcc2vzqx80000gn/T/com.microsoft.Word/WebArchiveCopyPasteTempFiles/page33image38288768"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7171D608" wp14:editId="43FC15DA">
            <wp:extent cx="2435225" cy="262255"/>
            <wp:effectExtent l="0" t="0" r="3175" b="4445"/>
            <wp:docPr id="53" name="Picture 53" descr="page33image38288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ge33image3828876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35225" cy="262255"/>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"/var/folders/xx/b74wr1s110v7wd4fcc2vzqx80000gn/T/com.microsoft.Word/WebArchiveCopyPasteTempFiles/page33image38288960"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372CDC34" wp14:editId="5E68452F">
            <wp:extent cx="2435225" cy="986790"/>
            <wp:effectExtent l="0" t="0" r="3175" b="3810"/>
            <wp:docPr id="52" name="Picture 52" descr="page33image38288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ge33image3828896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35225" cy="98679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27440FF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There is some controversy over the amount of clini- cal expertise versus business sense that is needed to be an effective nurse manager. Some argue that a person can be a “generic” manager, that the job of managing people is the same no matter what tasks he or she performs. Others argue that managers must understand the tasks themselves, better than anyone else in the work group. Our position is that both clinical skill and business acumen are needed, along with excellent leadership skills. </w:t>
      </w:r>
    </w:p>
    <w:p w14:paraId="79253A6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A30A00"/>
          <w:sz w:val="26"/>
          <w:szCs w:val="26"/>
        </w:rPr>
        <w:t xml:space="preserve">Behaviors of an Effective Manager </w:t>
      </w:r>
    </w:p>
    <w:p w14:paraId="243DE8F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Mintzberg (1989) divided a manager’s activities into three categories: interpersonal, decisional, and informational. We use these categories and have added some activities suggested by other authors (Dunham-Taylor, 1995; Montebello, 1994) and from our own observations of nurse managers (Fig. 2.2). </w:t>
      </w:r>
    </w:p>
    <w:p w14:paraId="76202A0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Interpersonal Activities </w:t>
      </w:r>
    </w:p>
    <w:p w14:paraId="4AF8E22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 interpersonal category is one in which leaders and managers have overlapping concerns. However, the manager has some additional responsibilities that are seldom given to leaders. These include the following: </w:t>
      </w:r>
    </w:p>
    <w:p w14:paraId="4909A29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b/>
          <w:bCs/>
          <w:sz w:val="20"/>
          <w:szCs w:val="20"/>
        </w:rPr>
        <w:t xml:space="preserve">Networking. </w:t>
      </w:r>
      <w:r w:rsidRPr="00653E2F">
        <w:rPr>
          <w:rFonts w:ascii="ACaslonPro" w:eastAsia="Times New Roman" w:hAnsi="ACaslonPro" w:cs="Times New Roman"/>
          <w:sz w:val="20"/>
          <w:szCs w:val="20"/>
        </w:rPr>
        <w:t xml:space="preserve">As we mentioned earlier, nurse managers are in pivotal positions, especially in inpatient settings where they have contact with virtually every service of the institution as well as with most people above and below them in the organizational hierarchy. This provides them with many opportunities to influence the status and treatment of staff nurses and the quality of the care provided to their patients. It is important that they “maintain the line of </w:t>
      </w:r>
    </w:p>
    <w:p w14:paraId="11AFC803" w14:textId="1E49C4E1"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lastRenderedPageBreak/>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"/var/folders/xx/b74wr1s110v7wd4fcc2vzqx80000gn/T/com.microsoft.Word/WebArchiveCopyPasteTempFiles/page33image38334272"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4F0894ED" wp14:editId="10476712">
            <wp:extent cx="2435225" cy="262255"/>
            <wp:effectExtent l="0" t="0" r="3175" b="4445"/>
            <wp:docPr id="51" name="Picture 51" descr="page33image38334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ge33image3833427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35225" cy="262255"/>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"/var/folders/xx/b74wr1s110v7wd4fcc2vzqx80000gn/T/com.microsoft.Word/WebArchiveCopyPasteTempFiles/page33image38334464"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1746205E" wp14:editId="21C287DE">
            <wp:extent cx="2435225" cy="986790"/>
            <wp:effectExtent l="0" t="0" r="3175" b="3810"/>
            <wp:docPr id="50" name="Picture 50" descr="page33image38334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ge33image3833446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35225" cy="98679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"/var/folders/xx/b74wr1s110v7wd4fcc2vzqx80000gn/T/com.microsoft.Word/WebArchiveCopyPasteTempFiles/page33image45059952"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78546892" wp14:editId="37682B64">
            <wp:extent cx="2435225" cy="434340"/>
            <wp:effectExtent l="0" t="0" r="3175" b="0"/>
            <wp:docPr id="49" name="Picture 49" descr="page33image45059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age33image4505995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35225" cy="43434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"/var/folders/xx/b74wr1s110v7wd4fcc2vzqx80000gn/T/com.microsoft.Word/WebArchiveCopyPasteTempFiles/page33image38334656"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593CB29B" wp14:editId="68BCE0F0">
            <wp:extent cx="1068070" cy="2743200"/>
            <wp:effectExtent l="0" t="0" r="0" b="0"/>
            <wp:docPr id="48" name="Picture 48" descr="page33image38334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ge33image3833465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807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1F98DB4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employee (the “coachee”) to do a better job through learning (McCauley &amp; Van Velson, 2004; Shirey, 2007). </w:t>
      </w:r>
    </w:p>
    <w:p w14:paraId="46220C5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Some managers use a directive approach: “This is how it’s done. Watch me.” or “Let me show you how to do this.” Others prefer a problem-solving approach: “Let’s try to figure out what’s wrong here” (Hart &amp; Waisman, 2005). “How do you think we can improve our outcomes?” </w:t>
      </w:r>
    </w:p>
    <w:p w14:paraId="23411B2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You can probably see the parallel with demo- cratic and autocratic leadership styles described in Chapter 1. The decision whether to be directive (e.g., in an emergency) or mutual problem-solving (e.g., when developing a long-term plan to improve infection control) will depend on the situation. </w:t>
      </w:r>
    </w:p>
    <w:p w14:paraId="13BACEE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b/>
          <w:bCs/>
          <w:sz w:val="20"/>
          <w:szCs w:val="20"/>
        </w:rPr>
        <w:t xml:space="preserve">Rewards and punishments. </w:t>
      </w:r>
      <w:r w:rsidRPr="00653E2F">
        <w:rPr>
          <w:rFonts w:ascii="ACaslonPro" w:eastAsia="Times New Roman" w:hAnsi="ACaslonPro" w:cs="Times New Roman"/>
          <w:sz w:val="20"/>
          <w:szCs w:val="20"/>
        </w:rPr>
        <w:t xml:space="preserve">Managers are in a position to provide specific rewards (e.g., salary increases, time off ) and general rewards (e.g., praise, recognition) as well as punishments (withhold pay raises, deny promotions). </w:t>
      </w:r>
    </w:p>
    <w:p w14:paraId="00A04ECF"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Decisional Activities </w:t>
      </w:r>
    </w:p>
    <w:p w14:paraId="20FC1B5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Nurse managers are responsible for making many decisions: </w:t>
      </w:r>
    </w:p>
    <w:p w14:paraId="02B19EAB" w14:textId="77777777" w:rsidR="00653E2F" w:rsidRPr="00653E2F" w:rsidRDefault="00653E2F" w:rsidP="00653E2F">
      <w:pPr>
        <w:numPr>
          <w:ilvl w:val="0"/>
          <w:numId w:val="3"/>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b/>
          <w:bCs/>
          <w:color w:val="0000FF"/>
          <w:position w:val="2"/>
          <w:sz w:val="20"/>
          <w:szCs w:val="20"/>
        </w:rPr>
        <w:t xml:space="preserve">Employee evaluation. </w:t>
      </w:r>
      <w:r w:rsidRPr="00653E2F">
        <w:rPr>
          <w:rFonts w:ascii="ACaslonPro" w:eastAsia="Times New Roman" w:hAnsi="ACaslonPro" w:cs="Times New Roman"/>
          <w:color w:val="0000FF"/>
          <w:position w:val="2"/>
          <w:sz w:val="20"/>
          <w:szCs w:val="20"/>
        </w:rPr>
        <w:t xml:space="preserve">Managers are responsible for conducting formal performance appraisals of their staff members. Traditionally, formal reviews have been conducted once a year, but people need to know much sooner than that if they are doing well or need to improve. Effective managers are like coaches, regularly giving their staff feedback (Suddath, 2013). </w:t>
      </w:r>
    </w:p>
    <w:p w14:paraId="7320BEBA" w14:textId="77777777" w:rsidR="00653E2F" w:rsidRPr="00653E2F" w:rsidRDefault="00653E2F" w:rsidP="00653E2F">
      <w:pPr>
        <w:numPr>
          <w:ilvl w:val="0"/>
          <w:numId w:val="3"/>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b/>
          <w:bCs/>
          <w:color w:val="0000FF"/>
          <w:position w:val="2"/>
          <w:sz w:val="20"/>
          <w:szCs w:val="20"/>
        </w:rPr>
        <w:t xml:space="preserve">Resource allocation. </w:t>
      </w:r>
      <w:r w:rsidRPr="00653E2F">
        <w:rPr>
          <w:rFonts w:ascii="ACaslonPro" w:eastAsia="Times New Roman" w:hAnsi="ACaslonPro" w:cs="Times New Roman"/>
          <w:color w:val="0000FF"/>
          <w:position w:val="2"/>
          <w:sz w:val="20"/>
          <w:szCs w:val="20"/>
        </w:rPr>
        <w:t xml:space="preserve">In decentralized organizations, nurse managers are often given an annual budget for their units and must allocate these resources wisely. This can be difficult when resources are very limited. </w:t>
      </w:r>
    </w:p>
    <w:p w14:paraId="4A41DB66" w14:textId="77777777" w:rsidR="00653E2F" w:rsidRPr="00653E2F" w:rsidRDefault="00653E2F" w:rsidP="00653E2F">
      <w:pPr>
        <w:numPr>
          <w:ilvl w:val="0"/>
          <w:numId w:val="3"/>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b/>
          <w:bCs/>
          <w:color w:val="0000FF"/>
          <w:position w:val="2"/>
          <w:sz w:val="20"/>
          <w:szCs w:val="20"/>
        </w:rPr>
        <w:t xml:space="preserve">Hiring and firing employees. </w:t>
      </w:r>
      <w:r w:rsidRPr="00653E2F">
        <w:rPr>
          <w:rFonts w:ascii="ACaslonPro" w:eastAsia="Times New Roman" w:hAnsi="ACaslonPro" w:cs="Times New Roman"/>
          <w:color w:val="0000FF"/>
          <w:position w:val="2"/>
          <w:sz w:val="20"/>
          <w:szCs w:val="20"/>
        </w:rPr>
        <w:t xml:space="preserve">Nurse managers either make the hiring and firing decisions or participate in employment and termination decisions for their units. </w:t>
      </w:r>
    </w:p>
    <w:p w14:paraId="5B8AA78D" w14:textId="77777777" w:rsidR="00653E2F" w:rsidRPr="00653E2F" w:rsidRDefault="00653E2F" w:rsidP="00653E2F">
      <w:pPr>
        <w:numPr>
          <w:ilvl w:val="0"/>
          <w:numId w:val="3"/>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b/>
          <w:bCs/>
          <w:color w:val="0000FF"/>
          <w:position w:val="2"/>
          <w:sz w:val="20"/>
          <w:szCs w:val="20"/>
        </w:rPr>
        <w:lastRenderedPageBreak/>
        <w:t xml:space="preserve">Planning for the future. </w:t>
      </w:r>
      <w:r w:rsidRPr="00653E2F">
        <w:rPr>
          <w:rFonts w:ascii="ACaslonPro" w:eastAsia="Times New Roman" w:hAnsi="ACaslonPro" w:cs="Times New Roman"/>
          <w:color w:val="0000FF"/>
          <w:position w:val="2"/>
          <w:sz w:val="20"/>
          <w:szCs w:val="20"/>
        </w:rPr>
        <w:t xml:space="preserve">Not only is the day- to-day operation of most units complex and time-consuming, nurse managers must also look ahead to prepare themselves and their units for future changes in budgets, organizational priorities, and patient </w:t>
      </w:r>
    </w:p>
    <w:p w14:paraId="714AC1B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populations. They need to look beyond the four walls of their own organization to become aware of what is happening to their competition and to the health-care system (Kelly &amp; Nadler, 2007). </w:t>
      </w:r>
    </w:p>
    <w:p w14:paraId="5BF635C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b/>
          <w:bCs/>
          <w:sz w:val="20"/>
          <w:szCs w:val="20"/>
        </w:rPr>
        <w:t xml:space="preserve">Job analysis and redesign. </w:t>
      </w:r>
      <w:r w:rsidRPr="00653E2F">
        <w:rPr>
          <w:rFonts w:ascii="ACaslonPro" w:eastAsia="Times New Roman" w:hAnsi="ACaslonPro" w:cs="Times New Roman"/>
          <w:sz w:val="20"/>
          <w:szCs w:val="20"/>
        </w:rPr>
        <w:t xml:space="preserve">In a time of extreme cost sensitivity, nurse managers are often required to analyze and redesign the work of their units to make them as efficient as possible. </w:t>
      </w:r>
    </w:p>
    <w:p w14:paraId="0F79612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Informational Activities </w:t>
      </w:r>
    </w:p>
    <w:p w14:paraId="3E91749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Nurse managers often find themselves in positions within the organizational hierarchy in which they acquire much information that is not available to their staff. They also have much information about their staff that is not readily available to the admin- istration, placing them in a strategic position within the information web of any organization. The effective manager uses this knowledge for the benefit of both the staff and the organization. The following are some examples: </w:t>
      </w:r>
    </w:p>
    <w:p w14:paraId="6D332ACF"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b/>
          <w:bCs/>
          <w:sz w:val="20"/>
          <w:szCs w:val="20"/>
        </w:rPr>
        <w:t xml:space="preserve">Spokesperson. </w:t>
      </w:r>
      <w:r w:rsidRPr="00653E2F">
        <w:rPr>
          <w:rFonts w:ascii="ACaslonPro" w:eastAsia="Times New Roman" w:hAnsi="ACaslonPro" w:cs="Times New Roman"/>
          <w:sz w:val="20"/>
          <w:szCs w:val="20"/>
        </w:rPr>
        <w:t xml:space="preserve">Nurse managers often speak for administration when relaying information to their staff members. Likewise, they often speak for staff members when relaying information to administration. You could think of them as central information clearinghouses, acting as gatherers and disseminators of information to people above and below them in the organizational hierarchy (Shirey, Ebright, &amp; McDaniel, 2008, p. 126). </w:t>
      </w:r>
    </w:p>
    <w:p w14:paraId="5EFE327F"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b/>
          <w:bCs/>
          <w:sz w:val="20"/>
          <w:szCs w:val="20"/>
        </w:rPr>
        <w:t xml:space="preserve">Monitoring. </w:t>
      </w:r>
      <w:r w:rsidRPr="00653E2F">
        <w:rPr>
          <w:rFonts w:ascii="ACaslonPro" w:eastAsia="Times New Roman" w:hAnsi="ACaslonPro" w:cs="Times New Roman"/>
          <w:sz w:val="20"/>
          <w:szCs w:val="20"/>
        </w:rPr>
        <w:t xml:space="preserve">Nurse managers are also expert “sensors,” picking up early signs (information) of problems before they grow too big (Shirey, Ebright, &amp; McDaniel, 2008). They are expected to monitor the many and various activities of their units or departments, including the number of patients seen, average length of stay, and important patient outcomes such as infection rates, fall rates, and so forth. They also monitor the staff (e.g., absentee rates, tardiness, unproductive time), the budget (e.g., money spent, money left in comparison with money needed to operate the unit), and the costs of procedures and services provided, especially those that are variable such as overtime or disposable vs. nondisposable medical supplies (Dowless, 2007). </w:t>
      </w:r>
    </w:p>
    <w:p w14:paraId="58E4102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b/>
          <w:bCs/>
          <w:sz w:val="20"/>
          <w:szCs w:val="20"/>
        </w:rPr>
        <w:t xml:space="preserve">Reporting. </w:t>
      </w:r>
      <w:r w:rsidRPr="00653E2F">
        <w:rPr>
          <w:rFonts w:ascii="ACaslonPro" w:eastAsia="Times New Roman" w:hAnsi="ACaslonPro" w:cs="Times New Roman"/>
          <w:sz w:val="20"/>
          <w:szCs w:val="20"/>
        </w:rPr>
        <w:t xml:space="preserve">Nurse managers share information with their patients, staff members, and </w:t>
      </w:r>
    </w:p>
    <w:p w14:paraId="404D404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chapter </w:t>
      </w:r>
      <w:r w:rsidRPr="00653E2F">
        <w:rPr>
          <w:rFonts w:ascii="FuturaStd" w:eastAsia="Times New Roman" w:hAnsi="FuturaStd" w:cs="Times New Roman"/>
          <w:sz w:val="20"/>
          <w:szCs w:val="20"/>
        </w:rPr>
        <w:t xml:space="preserve">2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Manager </w:t>
      </w:r>
      <w:r w:rsidRPr="00653E2F">
        <w:rPr>
          <w:rFonts w:ascii="ACaslonPro" w:eastAsia="Times New Roman" w:hAnsi="ACaslonPro" w:cs="Times New Roman"/>
          <w:b/>
          <w:bCs/>
          <w:i/>
          <w:iCs/>
          <w:sz w:val="20"/>
          <w:szCs w:val="20"/>
        </w:rPr>
        <w:t xml:space="preserve">21 </w:t>
      </w:r>
    </w:p>
    <w:p w14:paraId="6EA6B00A"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0"/>
          <w:szCs w:val="20"/>
        </w:rPr>
        <w:t xml:space="preserve">22 </w:t>
      </w:r>
      <w:r w:rsidRPr="00653E2F">
        <w:rPr>
          <w:rFonts w:ascii="FuturaStd" w:eastAsia="Times New Roman" w:hAnsi="FuturaStd" w:cs="Times New Roman"/>
          <w:sz w:val="16"/>
          <w:szCs w:val="16"/>
        </w:rPr>
        <w:t xml:space="preserve">unit </w:t>
      </w:r>
      <w:r w:rsidRPr="00653E2F">
        <w:rPr>
          <w:rFonts w:ascii="FuturaStd" w:eastAsia="Times New Roman" w:hAnsi="FuturaStd" w:cs="Times New Roman"/>
          <w:sz w:val="20"/>
          <w:szCs w:val="20"/>
        </w:rPr>
        <w:t xml:space="preserve">1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Professional Considerations </w:t>
      </w:r>
    </w:p>
    <w:p w14:paraId="0BBC52D7" w14:textId="6CAA0F06" w:rsidR="00653E2F" w:rsidRPr="00653E2F" w:rsidRDefault="00653E2F" w:rsidP="00653E2F">
      <w:pPr>
        <w:shd w:val="clear" w:color="auto" w:fill="FFFFFF"/>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"/var/folders/xx/b74wr1s110v7wd4fcc2vzqx80000gn/T/com.microsoft.Word/WebArchiveCopyPasteTempFiles/page35image38767808"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089CD109" wp14:editId="6AAF9312">
            <wp:extent cx="5414010" cy="135890"/>
            <wp:effectExtent l="0" t="0" r="0" b="3810"/>
            <wp:docPr id="47" name="Picture 47" descr="page35image38767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age35image3876780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14010" cy="13589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"/var/folders/xx/b74wr1s110v7wd4fcc2vzqx80000gn/T/com.microsoft.Word/WebArchiveCopyPasteTempFiles/page35image45064112"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030BE8E4" wp14:editId="7F797FB9">
            <wp:extent cx="2181860" cy="135890"/>
            <wp:effectExtent l="0" t="0" r="2540" b="3810"/>
            <wp:docPr id="46" name="Picture 46" descr="page35image45064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ge35image450641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1860" cy="13589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52C2C876"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FFFFFF"/>
          <w:sz w:val="14"/>
          <w:szCs w:val="14"/>
        </w:rPr>
        <w:t xml:space="preserve">table 2-2 </w:t>
      </w:r>
    </w:p>
    <w:p w14:paraId="15914637"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75E68"/>
          <w:sz w:val="20"/>
          <w:szCs w:val="20"/>
        </w:rPr>
        <w:t xml:space="preserve">Bad Management Styles </w:t>
      </w:r>
    </w:p>
    <w:p w14:paraId="013F5C50" w14:textId="72755C1C" w:rsidR="00653E2F" w:rsidRPr="00653E2F" w:rsidRDefault="00653E2F" w:rsidP="00653E2F">
      <w:pPr>
        <w:shd w:val="clear" w:color="auto" w:fill="FFFFFF"/>
        <w:rPr>
          <w:rFonts w:ascii="Times New Roman" w:eastAsia="Times New Roman" w:hAnsi="Times New Roman" w:cs="Times New Roman"/>
        </w:rPr>
      </w:pPr>
      <w:r w:rsidRPr="00653E2F">
        <w:rPr>
          <w:rFonts w:ascii="Times New Roman" w:eastAsia="Times New Roman" w:hAnsi="Times New Roman" w:cs="Times New Roman"/>
        </w:rPr>
        <w:lastRenderedPageBreak/>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"/var/folders/xx/b74wr1s110v7wd4fcc2vzqx80000gn/T/com.microsoft.Word/WebArchiveCopyPasteTempFiles/page35image38768000"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7AF22327" wp14:editId="480E94F5">
            <wp:extent cx="461645" cy="1602740"/>
            <wp:effectExtent l="0" t="0" r="0" b="0"/>
            <wp:docPr id="45" name="Picture 45" descr="page35image38768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age35image3876800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1645" cy="160274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"/var/folders/xx/b74wr1s110v7wd4fcc2vzqx80000gn/T/com.microsoft.Word/WebArchiveCopyPasteTempFiles/page35image38768192"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363B9571" wp14:editId="676B94C5">
            <wp:extent cx="5395595" cy="2743200"/>
            <wp:effectExtent l="0" t="0" r="1905" b="0"/>
            <wp:docPr id="44" name="Picture 44" descr="page35image38768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35image3876819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95595"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76C5229B"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These are the types of Know-it-all</w:t>
      </w:r>
      <w:r w:rsidRPr="00653E2F">
        <w:rPr>
          <w:rFonts w:ascii="FuturaStd" w:eastAsia="Times New Roman" w:hAnsi="FuturaStd" w:cs="Times New Roman"/>
          <w:sz w:val="16"/>
          <w:szCs w:val="16"/>
        </w:rPr>
        <w:br/>
        <w:t xml:space="preserve">Emotionally remote </w:t>
      </w:r>
    </w:p>
    <w:p w14:paraId="03CD8156"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Purely mean Overly nice Afraid to decide </w:t>
      </w:r>
    </w:p>
    <w:p w14:paraId="7DE763FB"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managers you do not want to be and for whom you do not want to work: </w:t>
      </w:r>
    </w:p>
    <w:p w14:paraId="30F386AD"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Self-appointed experts on everything, these managers do not listen to anyone else. </w:t>
      </w:r>
    </w:p>
    <w:p w14:paraId="0982634F"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Isolated from the staff and the work going on, these managers do not know what is going on in the workplace and cannot inspire others. </w:t>
      </w:r>
    </w:p>
    <w:p w14:paraId="6A28739C"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Mean, nasty, and dictatorial, these managers look for problems and reasons to criticize. They diminish people instead of developing them. </w:t>
      </w:r>
    </w:p>
    <w:p w14:paraId="2CE8246E"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Desperate to please everyone, these managers agree to every idea and request, causing confusion and spending too much money on useless projects. </w:t>
      </w:r>
    </w:p>
    <w:p w14:paraId="60CA53FF"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Indecisive managers may announce goals for their unit but fail to be clear about their expectations, assign responsibility, or set deadlines for accomplishment. In the name of fairness, these managers may not distinguish between competent and incompetent, or hardworking and unproductive employees, thus creating an unfair reward system. </w:t>
      </w:r>
    </w:p>
    <w:p w14:paraId="4D0534C7" w14:textId="2671AE4A" w:rsidR="00653E2F" w:rsidRPr="00653E2F" w:rsidRDefault="00653E2F" w:rsidP="00653E2F">
      <w:pPr>
        <w:shd w:val="clear" w:color="auto" w:fill="FFFFFF"/>
        <w:rPr>
          <w:rFonts w:ascii="Times New Roman" w:eastAsia="Times New Roman" w:hAnsi="Times New Roman" w:cs="Times New Roman"/>
        </w:rPr>
      </w:pPr>
      <w:r w:rsidRPr="00653E2F">
        <w:rPr>
          <w:rFonts w:ascii="Times New Roman" w:eastAsia="Times New Roman" w:hAnsi="Times New Roman" w:cs="Times New Roman"/>
        </w:rPr>
        <w:lastRenderedPageBreak/>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"/var/folders/xx/b74wr1s110v7wd4fcc2vzqx80000gn/T/com.microsoft.Word/WebArchiveCopyPasteTempFiles/page35image38768384"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26E0EDCA" wp14:editId="2F032365">
            <wp:extent cx="5395595" cy="2743200"/>
            <wp:effectExtent l="0" t="0" r="1905" b="0"/>
            <wp:docPr id="43" name="Picture 43" descr="page35image38768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35image3876838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95595"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5BC699A6"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sz w:val="14"/>
          <w:szCs w:val="14"/>
        </w:rPr>
        <w:t xml:space="preserve">Source: Based on Welch, J. &amp; Welch, S. (2007, July 23). Bosses who get it all wrong. Bloomberg Businessweek, 88; Schaffer, R.H. (2010/September). Mistakes leaders keep making. Harvard Business Review, 87–91; Wiseman, L., &amp; McKeown, A. (2010/May). Bringing out the best in your people. Harvard Business Review, Reprint R1005K, 1–5. </w:t>
      </w:r>
    </w:p>
    <w:p w14:paraId="6D014999"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employers. This information may be related to the results of their monitoring efforts, new developments in health care, policy changes, and so forth. </w:t>
      </w:r>
    </w:p>
    <w:p w14:paraId="657159AE"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Review Table 2-2, Bad Management Styles, to compare what you have just read about effective nurse managers with descriptions of some of the most common ineffective approaches to being a manager. </w:t>
      </w:r>
    </w:p>
    <w:p w14:paraId="488A6604"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A30A00"/>
          <w:sz w:val="26"/>
          <w:szCs w:val="26"/>
        </w:rPr>
        <w:t xml:space="preserve">Conclusion </w:t>
      </w:r>
    </w:p>
    <w:p w14:paraId="00788053"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Nurse managers have complex, responsible posi- tions in health-care organizations. Ineffective man- agers may do harm to their employees, their </w:t>
      </w:r>
    </w:p>
    <w:p w14:paraId="29DF8D9A"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FFFFFF"/>
          <w:sz w:val="20"/>
          <w:szCs w:val="20"/>
        </w:rPr>
        <w:t xml:space="preserve">Study Questions </w:t>
      </w:r>
    </w:p>
    <w:p w14:paraId="00480F30"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patients, and to the organization, while effective managers can help their staff members grow and develop as health-care professionals providing the highest quality care to their patients. </w:t>
      </w:r>
    </w:p>
    <w:p w14:paraId="677B52EE"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If you have wondered why there are so many conflicting and overlapping theories of leadership and management, it is because management theory is still at an immature (not fully developed) stage as well as being prone to fads (Micklethwait in Wooldridge, 2011). Even so, there is still much that is useful in the theories and much to be learned from them. </w:t>
      </w:r>
    </w:p>
    <w:p w14:paraId="01295649" w14:textId="0E9346CF" w:rsidR="00653E2F" w:rsidRPr="00653E2F" w:rsidRDefault="00653E2F" w:rsidP="00653E2F">
      <w:pPr>
        <w:shd w:val="clear" w:color="auto" w:fill="FFFFFF"/>
        <w:rPr>
          <w:rFonts w:ascii="Times New Roman" w:eastAsia="Times New Roman" w:hAnsi="Times New Roman" w:cs="Times New Roman"/>
        </w:rPr>
      </w:pPr>
      <w:r w:rsidRPr="00653E2F">
        <w:rPr>
          <w:rFonts w:ascii="Times New Roman" w:eastAsia="Times New Roman" w:hAnsi="Times New Roman" w:cs="Times New Roman"/>
        </w:rPr>
        <w:lastRenderedPageBreak/>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"/var/folders/xx/b74wr1s110v7wd4fcc2vzqx80000gn/T/com.microsoft.Word/WebArchiveCopyPasteTempFiles/page35image38768576"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1E0F1AC7" wp14:editId="093D452B">
            <wp:extent cx="1068070" cy="2743200"/>
            <wp:effectExtent l="0" t="0" r="0" b="0"/>
            <wp:docPr id="42" name="Picture 42" descr="page35image38768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35image3876857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807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"/var/folders/xx/b74wr1s110v7wd4fcc2vzqx80000gn/T/com.microsoft.Word/WebArchiveCopyPasteTempFiles/page35image38768768"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44830734" wp14:editId="576591F0">
            <wp:extent cx="5586095" cy="180975"/>
            <wp:effectExtent l="0" t="0" r="0" b="0"/>
            <wp:docPr id="41" name="Picture 41" descr="page35image38768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35image3876876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86095" cy="180975"/>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29DFE239" w14:textId="77777777" w:rsidR="00653E2F" w:rsidRPr="00653E2F" w:rsidRDefault="00653E2F" w:rsidP="00653E2F">
      <w:pPr>
        <w:numPr>
          <w:ilvl w:val="0"/>
          <w:numId w:val="4"/>
        </w:numPr>
        <w:shd w:val="clear" w:color="auto" w:fill="FFFFFF"/>
        <w:spacing w:before="100" w:beforeAutospacing="1" w:after="100" w:afterAutospacing="1"/>
        <w:rPr>
          <w:rFonts w:ascii="FuturaStd" w:eastAsia="Times New Roman" w:hAnsi="FuturaStd" w:cs="Times New Roman"/>
          <w:b/>
          <w:bCs/>
          <w:color w:val="00FF00"/>
          <w:sz w:val="20"/>
          <w:szCs w:val="20"/>
        </w:rPr>
      </w:pPr>
      <w:r w:rsidRPr="00653E2F">
        <w:rPr>
          <w:rFonts w:ascii="ACaslonPro" w:eastAsia="Times New Roman" w:hAnsi="ACaslonPro" w:cs="Times New Roman"/>
          <w:b/>
          <w:bCs/>
          <w:color w:val="00FF00"/>
          <w:sz w:val="20"/>
          <w:szCs w:val="20"/>
        </w:rPr>
        <w:t xml:space="preserve">Why should new graduates decline nursing management positions? At what point do you think a nurse is ready to assume managerial responsibilities? </w:t>
      </w:r>
    </w:p>
    <w:p w14:paraId="0CF664ED" w14:textId="77777777" w:rsidR="00653E2F" w:rsidRPr="00653E2F" w:rsidRDefault="00653E2F" w:rsidP="00653E2F">
      <w:pPr>
        <w:numPr>
          <w:ilvl w:val="0"/>
          <w:numId w:val="4"/>
        </w:numPr>
        <w:shd w:val="clear" w:color="auto" w:fill="FFFFFF"/>
        <w:spacing w:before="100" w:beforeAutospacing="1" w:after="100" w:afterAutospacing="1"/>
        <w:rPr>
          <w:rFonts w:ascii="FuturaStd" w:eastAsia="Times New Roman" w:hAnsi="FuturaStd" w:cs="Times New Roman"/>
          <w:b/>
          <w:bCs/>
          <w:color w:val="00FF00"/>
          <w:sz w:val="20"/>
          <w:szCs w:val="20"/>
        </w:rPr>
      </w:pPr>
      <w:r w:rsidRPr="00653E2F">
        <w:rPr>
          <w:rFonts w:ascii="ACaslonPro" w:eastAsia="Times New Roman" w:hAnsi="ACaslonPro" w:cs="Times New Roman"/>
          <w:b/>
          <w:bCs/>
          <w:color w:val="00FF00"/>
          <w:sz w:val="20"/>
          <w:szCs w:val="20"/>
        </w:rPr>
        <w:t xml:space="preserve">Which theory, scientific management or human relations, do you believe is most useful to nurse managers? Explain your choice. </w:t>
      </w:r>
    </w:p>
    <w:p w14:paraId="638A8A43" w14:textId="77777777" w:rsidR="00653E2F" w:rsidRPr="00653E2F" w:rsidRDefault="00653E2F" w:rsidP="00653E2F">
      <w:pPr>
        <w:numPr>
          <w:ilvl w:val="0"/>
          <w:numId w:val="4"/>
        </w:numPr>
        <w:shd w:val="clear" w:color="auto" w:fill="FFFFFF"/>
        <w:spacing w:before="100" w:beforeAutospacing="1" w:after="100" w:afterAutospacing="1"/>
        <w:rPr>
          <w:rFonts w:ascii="FuturaStd" w:eastAsia="Times New Roman" w:hAnsi="FuturaStd" w:cs="Times New Roman"/>
          <w:b/>
          <w:bCs/>
          <w:color w:val="00FF00"/>
          <w:sz w:val="20"/>
          <w:szCs w:val="20"/>
        </w:rPr>
      </w:pPr>
      <w:r w:rsidRPr="00653E2F">
        <w:rPr>
          <w:rFonts w:ascii="ACaslonPro" w:eastAsia="Times New Roman" w:hAnsi="ACaslonPro" w:cs="Times New Roman"/>
          <w:b/>
          <w:bCs/>
          <w:color w:val="00FF00"/>
          <w:sz w:val="20"/>
          <w:szCs w:val="20"/>
        </w:rPr>
        <w:t xml:space="preserve">Compare servant leadership with scientific management. Which approach do you prefer? Why? </w:t>
      </w:r>
    </w:p>
    <w:p w14:paraId="54E70A56" w14:textId="77777777" w:rsidR="00653E2F" w:rsidRPr="00653E2F" w:rsidRDefault="00653E2F" w:rsidP="00653E2F">
      <w:pPr>
        <w:numPr>
          <w:ilvl w:val="0"/>
          <w:numId w:val="4"/>
        </w:numPr>
        <w:shd w:val="clear" w:color="auto" w:fill="FFFFFF"/>
        <w:spacing w:before="100" w:beforeAutospacing="1" w:after="100" w:afterAutospacing="1"/>
        <w:rPr>
          <w:rFonts w:ascii="FuturaStd" w:eastAsia="Times New Roman" w:hAnsi="FuturaStd" w:cs="Times New Roman"/>
          <w:b/>
          <w:bCs/>
          <w:color w:val="00FF00"/>
          <w:sz w:val="20"/>
          <w:szCs w:val="20"/>
        </w:rPr>
      </w:pPr>
      <w:r w:rsidRPr="00653E2F">
        <w:rPr>
          <w:rFonts w:ascii="ACaslonPro" w:eastAsia="Times New Roman" w:hAnsi="ACaslonPro" w:cs="Times New Roman"/>
          <w:b/>
          <w:bCs/>
          <w:color w:val="00FF00"/>
          <w:sz w:val="20"/>
          <w:szCs w:val="20"/>
        </w:rPr>
        <w:t xml:space="preserve">Describe your ideal nurse manager in terms of the person for whom you would most like to work. Then describe the worst nurse manager you can imagine, and explain why this person would be very difficult to work with. </w:t>
      </w:r>
    </w:p>
    <w:p w14:paraId="3E846D3E" w14:textId="77777777" w:rsidR="00653E2F" w:rsidRPr="00653E2F" w:rsidRDefault="00653E2F" w:rsidP="00653E2F">
      <w:pPr>
        <w:numPr>
          <w:ilvl w:val="0"/>
          <w:numId w:val="4"/>
        </w:numPr>
        <w:shd w:val="clear" w:color="auto" w:fill="FFFFFF"/>
        <w:spacing w:before="100" w:beforeAutospacing="1" w:after="100" w:afterAutospacing="1"/>
        <w:rPr>
          <w:rFonts w:ascii="FuturaStd" w:eastAsia="Times New Roman" w:hAnsi="FuturaStd" w:cs="Times New Roman"/>
          <w:b/>
          <w:bCs/>
          <w:color w:val="00FF00"/>
          <w:sz w:val="20"/>
          <w:szCs w:val="20"/>
        </w:rPr>
      </w:pPr>
      <w:r w:rsidRPr="00653E2F">
        <w:rPr>
          <w:rFonts w:ascii="ACaslonPro" w:eastAsia="Times New Roman" w:hAnsi="ACaslonPro" w:cs="Times New Roman"/>
          <w:b/>
          <w:bCs/>
          <w:color w:val="00FF00"/>
          <w:sz w:val="20"/>
          <w:szCs w:val="20"/>
        </w:rPr>
        <w:t xml:space="preserve">List 10 behaviors of nurse managers and then rank them from least to most important. What rationale(s) did you use in ranking them? </w:t>
      </w:r>
    </w:p>
    <w:p w14:paraId="795FC1DB"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chapter </w:t>
      </w:r>
      <w:r w:rsidRPr="00653E2F">
        <w:rPr>
          <w:rFonts w:ascii="FuturaStd" w:eastAsia="Times New Roman" w:hAnsi="FuturaStd" w:cs="Times New Roman"/>
          <w:sz w:val="20"/>
          <w:szCs w:val="20"/>
        </w:rPr>
        <w:t xml:space="preserve">2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Manager </w:t>
      </w:r>
      <w:r w:rsidRPr="00653E2F">
        <w:rPr>
          <w:rFonts w:ascii="ACaslonPro" w:eastAsia="Times New Roman" w:hAnsi="ACaslonPro" w:cs="Times New Roman"/>
          <w:b/>
          <w:bCs/>
          <w:i/>
          <w:iCs/>
          <w:sz w:val="20"/>
          <w:szCs w:val="20"/>
        </w:rPr>
        <w:t xml:space="preserve">23 </w:t>
      </w:r>
    </w:p>
    <w:p w14:paraId="699CE2B2" w14:textId="480CEF62" w:rsidR="00653E2F" w:rsidRPr="00653E2F" w:rsidRDefault="00653E2F" w:rsidP="00653E2F">
      <w:pPr>
        <w:shd w:val="clear" w:color="auto" w:fill="FFFFFF"/>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"/var/folders/xx/b74wr1s110v7wd4fcc2vzqx80000gn/T/com.microsoft.Word/WebArchiveCopyPasteTempFiles/page36image38773376"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71B83798" wp14:editId="42C2D908">
            <wp:extent cx="5586095" cy="180975"/>
            <wp:effectExtent l="0" t="0" r="0" b="0"/>
            <wp:docPr id="40" name="Picture 40" descr="page36image3877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36image3877337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86095" cy="180975"/>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42B1B57C"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FFFFFF"/>
          <w:sz w:val="20"/>
          <w:szCs w:val="20"/>
        </w:rPr>
        <w:t xml:space="preserve">Case Studies to Promote Critical Reasoning </w:t>
      </w:r>
    </w:p>
    <w:p w14:paraId="368C2253"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FF0033"/>
          <w:sz w:val="20"/>
          <w:szCs w:val="20"/>
        </w:rPr>
        <w:t xml:space="preserve">Case I </w:t>
      </w:r>
    </w:p>
    <w:p w14:paraId="390DA08C"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Joe Garcia has been an operating room nurse for 5 years. He is often on call on Saturdays and Sundays, but he enjoys his work and knows that he is good at it. </w:t>
      </w:r>
    </w:p>
    <w:p w14:paraId="5AD4DEE5"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Joe was called to come in on a busy Saturday afternoon just as his 5-year-old daughter’s birthday party was about to begin. “Can you find someone else just this once?” he asked the nurse manager who called him. “I should have let you know in advance that we have an important family event today, but I just forgot. If you can’t find someone else, call me back, and I’ll come right in.” Joe’s manager was furious. She said, “I don’t have time to make a dozen calls. If you knew that you wouldn’t want to come in today, you should not have accepted on-call duty. We pay you to be on call, and I expect you to be here in 30 minutes, not 1 minute later, or there will be consequences.” </w:t>
      </w:r>
    </w:p>
    <w:p w14:paraId="3377CE56"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lastRenderedPageBreak/>
        <w:t xml:space="preserve">Joe decided that he no longer wanted to work in that institution. With his 5 years of operating room experience, he quickly found another position in an organization that was more supportive of its staff. </w:t>
      </w:r>
    </w:p>
    <w:p w14:paraId="1633763D" w14:textId="77777777" w:rsidR="00653E2F" w:rsidRPr="00653E2F" w:rsidRDefault="00653E2F" w:rsidP="00653E2F">
      <w:pPr>
        <w:numPr>
          <w:ilvl w:val="0"/>
          <w:numId w:val="5"/>
        </w:numPr>
        <w:shd w:val="clear" w:color="auto" w:fill="FFFFFF"/>
        <w:spacing w:before="100" w:beforeAutospacing="1" w:after="100" w:afterAutospacing="1"/>
        <w:rPr>
          <w:rFonts w:ascii="FuturaStd" w:eastAsia="Times New Roman" w:hAnsi="FuturaStd" w:cs="Times New Roman"/>
          <w:b/>
          <w:bCs/>
          <w:color w:val="FF0033"/>
          <w:sz w:val="20"/>
          <w:szCs w:val="20"/>
        </w:rPr>
      </w:pPr>
      <w:r w:rsidRPr="00653E2F">
        <w:rPr>
          <w:rFonts w:ascii="ACaslonPro" w:eastAsia="Times New Roman" w:hAnsi="ACaslonPro" w:cs="Times New Roman"/>
          <w:b/>
          <w:bCs/>
          <w:color w:val="FF0033"/>
          <w:sz w:val="20"/>
          <w:szCs w:val="20"/>
        </w:rPr>
        <w:t xml:space="preserve">What style of leadership and school of management seemed to be preferred by Joe Garcia’s manager? </w:t>
      </w:r>
    </w:p>
    <w:p w14:paraId="4F4BB017" w14:textId="77777777" w:rsidR="00653E2F" w:rsidRPr="00653E2F" w:rsidRDefault="00653E2F" w:rsidP="00653E2F">
      <w:pPr>
        <w:numPr>
          <w:ilvl w:val="0"/>
          <w:numId w:val="5"/>
        </w:numPr>
        <w:shd w:val="clear" w:color="auto" w:fill="FFFFFF"/>
        <w:spacing w:before="100" w:beforeAutospacing="1" w:after="100" w:afterAutospacing="1"/>
        <w:rPr>
          <w:rFonts w:ascii="FuturaStd" w:eastAsia="Times New Roman" w:hAnsi="FuturaStd" w:cs="Times New Roman"/>
          <w:b/>
          <w:bCs/>
          <w:color w:val="FF0033"/>
          <w:sz w:val="20"/>
          <w:szCs w:val="20"/>
        </w:rPr>
      </w:pPr>
      <w:r w:rsidRPr="00653E2F">
        <w:rPr>
          <w:rFonts w:ascii="ACaslonPro" w:eastAsia="Times New Roman" w:hAnsi="ACaslonPro" w:cs="Times New Roman"/>
          <w:b/>
          <w:bCs/>
          <w:color w:val="FF0033"/>
          <w:sz w:val="20"/>
          <w:szCs w:val="20"/>
        </w:rPr>
        <w:t xml:space="preserve">What style of leadership and school of management were preferred by Joe? </w:t>
      </w:r>
    </w:p>
    <w:p w14:paraId="25AF4975" w14:textId="77777777" w:rsidR="00653E2F" w:rsidRPr="00653E2F" w:rsidRDefault="00653E2F" w:rsidP="00653E2F">
      <w:pPr>
        <w:numPr>
          <w:ilvl w:val="0"/>
          <w:numId w:val="5"/>
        </w:numPr>
        <w:shd w:val="clear" w:color="auto" w:fill="FFFFFF"/>
        <w:spacing w:before="100" w:beforeAutospacing="1" w:after="100" w:afterAutospacing="1"/>
        <w:rPr>
          <w:rFonts w:ascii="FuturaStd" w:eastAsia="Times New Roman" w:hAnsi="FuturaStd" w:cs="Times New Roman"/>
          <w:b/>
          <w:bCs/>
          <w:color w:val="FF0033"/>
          <w:sz w:val="20"/>
          <w:szCs w:val="20"/>
        </w:rPr>
      </w:pPr>
      <w:r w:rsidRPr="00653E2F">
        <w:rPr>
          <w:rFonts w:ascii="ACaslonPro" w:eastAsia="Times New Roman" w:hAnsi="ACaslonPro" w:cs="Times New Roman"/>
          <w:b/>
          <w:bCs/>
          <w:color w:val="FF0033"/>
          <w:sz w:val="20"/>
          <w:szCs w:val="20"/>
        </w:rPr>
        <w:t xml:space="preserve">Which of the listed qualities of leaders and managers did the nurse manager display? Which </w:t>
      </w:r>
    </w:p>
    <w:p w14:paraId="50A1E4F2" w14:textId="77777777" w:rsidR="00653E2F" w:rsidRPr="00653E2F" w:rsidRDefault="00653E2F" w:rsidP="00653E2F">
      <w:pPr>
        <w:shd w:val="clear" w:color="auto" w:fill="FFFFFF"/>
        <w:spacing w:before="100" w:beforeAutospacing="1" w:after="100" w:afterAutospacing="1"/>
        <w:ind w:left="720"/>
        <w:rPr>
          <w:rFonts w:ascii="FuturaStd" w:eastAsia="Times New Roman" w:hAnsi="FuturaStd" w:cs="Times New Roman"/>
          <w:b/>
          <w:bCs/>
          <w:color w:val="FF0033"/>
          <w:sz w:val="20"/>
          <w:szCs w:val="20"/>
        </w:rPr>
      </w:pPr>
      <w:r w:rsidRPr="00653E2F">
        <w:rPr>
          <w:rFonts w:ascii="ACaslonPro" w:eastAsia="Times New Roman" w:hAnsi="ACaslonPro" w:cs="Times New Roman"/>
          <w:b/>
          <w:bCs/>
          <w:color w:val="FF0033"/>
          <w:sz w:val="20"/>
          <w:szCs w:val="20"/>
        </w:rPr>
        <w:t xml:space="preserve">behaviors? Which ones did the nurse manager not display? </w:t>
      </w:r>
    </w:p>
    <w:p w14:paraId="6DD8F0C7" w14:textId="77777777" w:rsidR="00653E2F" w:rsidRPr="00653E2F" w:rsidRDefault="00653E2F" w:rsidP="00653E2F">
      <w:pPr>
        <w:numPr>
          <w:ilvl w:val="0"/>
          <w:numId w:val="5"/>
        </w:numPr>
        <w:shd w:val="clear" w:color="auto" w:fill="FFFFFF"/>
        <w:spacing w:before="100" w:beforeAutospacing="1" w:after="100" w:afterAutospacing="1"/>
        <w:rPr>
          <w:rFonts w:ascii="FuturaStd" w:eastAsia="Times New Roman" w:hAnsi="FuturaStd" w:cs="Times New Roman"/>
          <w:b/>
          <w:bCs/>
          <w:color w:val="FF0033"/>
          <w:sz w:val="20"/>
          <w:szCs w:val="20"/>
        </w:rPr>
      </w:pPr>
      <w:r w:rsidRPr="00653E2F">
        <w:rPr>
          <w:rFonts w:ascii="ACaslonPro" w:eastAsia="Times New Roman" w:hAnsi="ACaslonPro" w:cs="Times New Roman"/>
          <w:b/>
          <w:bCs/>
          <w:color w:val="FF0033"/>
          <w:sz w:val="20"/>
          <w:szCs w:val="20"/>
        </w:rPr>
        <w:t xml:space="preserve">If you were Joe, what would you have done? If you were the nurse manager, what would you have done? Why? </w:t>
      </w:r>
    </w:p>
    <w:p w14:paraId="3699EC78" w14:textId="77777777" w:rsidR="00653E2F" w:rsidRPr="00653E2F" w:rsidRDefault="00653E2F" w:rsidP="00653E2F">
      <w:pPr>
        <w:numPr>
          <w:ilvl w:val="0"/>
          <w:numId w:val="5"/>
        </w:numPr>
        <w:shd w:val="clear" w:color="auto" w:fill="FFFFFF"/>
        <w:spacing w:before="100" w:beforeAutospacing="1" w:after="100" w:afterAutospacing="1"/>
        <w:rPr>
          <w:rFonts w:ascii="FuturaStd" w:eastAsia="Times New Roman" w:hAnsi="FuturaStd" w:cs="Times New Roman"/>
          <w:b/>
          <w:bCs/>
          <w:color w:val="FF0033"/>
          <w:sz w:val="20"/>
          <w:szCs w:val="20"/>
        </w:rPr>
      </w:pPr>
      <w:r w:rsidRPr="00653E2F">
        <w:rPr>
          <w:rFonts w:ascii="ACaslonPro" w:eastAsia="Times New Roman" w:hAnsi="ACaslonPro" w:cs="Times New Roman"/>
          <w:b/>
          <w:bCs/>
          <w:color w:val="FF0033"/>
          <w:sz w:val="20"/>
          <w:szCs w:val="20"/>
        </w:rPr>
        <w:t xml:space="preserve">Who do you think was right, Joe or the nurse manager? Why? </w:t>
      </w:r>
    </w:p>
    <w:p w14:paraId="4A1179E8"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FF0033"/>
          <w:sz w:val="20"/>
          <w:szCs w:val="20"/>
        </w:rPr>
        <w:t xml:space="preserve">Case II </w:t>
      </w:r>
    </w:p>
    <w:p w14:paraId="1B7E899B"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Sung Lee completed her 2-year associate degree in nursing right after high school. Upon graduation, she was offered a staff position at Harbordale nursing home and rehabilitation center where she had volunteered during high school. Most of her classmates accepted positions in local hospitals, but Sung Lee felt comfortable at Harbordale and had loved her volunteer work there. She thought it would be an advantage to already know many of the staff at Harbordale. </w:t>
      </w:r>
    </w:p>
    <w:p w14:paraId="6071CE5B"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 director of nursing thought it would be best to place Sung Lee on a short-term unit. Most of the patients in the unit were recently discharged from the hospital and still recovering from an acute event such as stroke, injury, or extensive surgery. Sung Lee found her assignment challenging but satisfying. She admired her nurse manager, an experienced clinical nurse leader who became her mentor. </w:t>
      </w:r>
    </w:p>
    <w:p w14:paraId="09066B1A"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Six months later, the director of nursing called Sung Lee into her office. “Sung Lee,” she said, “we are very pleased with your work. You have been a quick learner and very caring nurse. Your colleagues, patients, and physicians all speak well of you.” </w:t>
      </w:r>
    </w:p>
    <w:p w14:paraId="56478974"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“Thank you,” replied Sung Lee. “I know there’s still a lot for me to learn, but I really love my work here.” </w:t>
      </w:r>
    </w:p>
    <w:p w14:paraId="11710C26"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“You may not be aware of this,” continued the director of nursing, “but your nurse manager will be retiring next month. Our policy at Harbordale is to promote from within whenever possible, and I’d like to offer you her position. It’s a little soon after graduation, but I’m sure you can handle it.” </w:t>
      </w:r>
    </w:p>
    <w:p w14:paraId="38EBBB96"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Sung Lee gasped. “I’m honored that you would consider me for this position. May I have a few days to think it over?” </w:t>
      </w:r>
    </w:p>
    <w:p w14:paraId="468842A8"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0"/>
          <w:szCs w:val="20"/>
        </w:rPr>
        <w:t xml:space="preserve">24 </w:t>
      </w:r>
    </w:p>
    <w:p w14:paraId="747206B6"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unit </w:t>
      </w:r>
      <w:r w:rsidRPr="00653E2F">
        <w:rPr>
          <w:rFonts w:ascii="FuturaStd" w:eastAsia="Times New Roman" w:hAnsi="FuturaStd" w:cs="Times New Roman"/>
          <w:sz w:val="20"/>
          <w:szCs w:val="20"/>
        </w:rPr>
        <w:t xml:space="preserve">1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Professional Considerations </w:t>
      </w:r>
    </w:p>
    <w:p w14:paraId="55787298"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FF0033"/>
          <w:sz w:val="20"/>
          <w:szCs w:val="20"/>
        </w:rPr>
        <w:t xml:space="preserve">1. </w:t>
      </w:r>
    </w:p>
    <w:p w14:paraId="08D12270"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FF0033"/>
          <w:sz w:val="20"/>
          <w:szCs w:val="20"/>
        </w:rPr>
        <w:t xml:space="preserve">2. </w:t>
      </w:r>
    </w:p>
    <w:p w14:paraId="5A22E7C5"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FF0033"/>
          <w:sz w:val="20"/>
          <w:szCs w:val="20"/>
        </w:rPr>
        <w:t xml:space="preserve">3. 4. </w:t>
      </w:r>
    </w:p>
    <w:p w14:paraId="08225C8B"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lastRenderedPageBreak/>
        <w:t xml:space="preserve">Why did the director of nursing at Harbordale offer the nurse manager position to Sung Lee? If you had been in the director’s position, would you have selected Sung Lee for the nurse manager position? Why or why not? </w:t>
      </w:r>
    </w:p>
    <w:p w14:paraId="2944EA28"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If Sung Lee does accept the nurse manager position, what do you think her first month will be like? Write a scenario that describes her first month as a nurse manager. </w:t>
      </w:r>
    </w:p>
    <w:p w14:paraId="53D7DA12"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If Sung Lee declines this offer, how do you think the director of nursing will respond? </w:t>
      </w:r>
    </w:p>
    <w:p w14:paraId="1AD5C0B4"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Write a list of typical nurse manager roles and responsibilities. For each one indicate how prepared you are to assume each role or responsibility and what you would need to prepare yourself to assume this responsibility. </w:t>
      </w:r>
    </w:p>
    <w:p w14:paraId="154E7CE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MinionPro" w:eastAsia="Times New Roman" w:hAnsi="MinionPro" w:cs="Times New Roman"/>
          <w:color w:val="FF0033"/>
          <w:sz w:val="26"/>
          <w:szCs w:val="26"/>
        </w:rPr>
        <w:t xml:space="preserve">References </w:t>
      </w:r>
    </w:p>
    <w:p w14:paraId="7F1A76A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Dantley, M.E. (2005). Moral leadership: Shifting the management paradigm. In English, F.W., </w:t>
      </w:r>
      <w:r w:rsidRPr="00653E2F">
        <w:rPr>
          <w:rFonts w:ascii="FuturaStd" w:eastAsia="Times New Roman" w:hAnsi="FuturaStd" w:cs="Times New Roman"/>
          <w:i/>
          <w:iCs/>
          <w:sz w:val="16"/>
          <w:szCs w:val="16"/>
        </w:rPr>
        <w:t xml:space="preserve">The sage handbook of educational leadership </w:t>
      </w:r>
      <w:r w:rsidRPr="00653E2F">
        <w:rPr>
          <w:rFonts w:ascii="FuturaStd" w:eastAsia="Times New Roman" w:hAnsi="FuturaStd" w:cs="Times New Roman"/>
          <w:sz w:val="16"/>
          <w:szCs w:val="16"/>
        </w:rPr>
        <w:t xml:space="preserve">(pp. 34–46). Thousand Oaks, Calif.: Sage Publications. </w:t>
      </w:r>
    </w:p>
    <w:p w14:paraId="354671C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Dowless, R.M. (2007). Your guide to costing methods and terminology. </w:t>
      </w:r>
      <w:r w:rsidRPr="00653E2F">
        <w:rPr>
          <w:rFonts w:ascii="FuturaStd" w:eastAsia="Times New Roman" w:hAnsi="FuturaStd" w:cs="Times New Roman"/>
          <w:i/>
          <w:iCs/>
          <w:sz w:val="16"/>
          <w:szCs w:val="16"/>
        </w:rPr>
        <w:t>Nursing Management</w:t>
      </w:r>
      <w:r w:rsidRPr="00653E2F">
        <w:rPr>
          <w:rFonts w:ascii="FuturaStd" w:eastAsia="Times New Roman" w:hAnsi="FuturaStd" w:cs="Times New Roman"/>
          <w:sz w:val="16"/>
          <w:szCs w:val="16"/>
        </w:rPr>
        <w:t xml:space="preserve">, </w:t>
      </w:r>
      <w:r w:rsidRPr="00653E2F">
        <w:rPr>
          <w:rFonts w:ascii="FuturaStd" w:eastAsia="Times New Roman" w:hAnsi="FuturaStd" w:cs="Times New Roman"/>
          <w:i/>
          <w:iCs/>
          <w:sz w:val="16"/>
          <w:szCs w:val="16"/>
        </w:rPr>
        <w:t>38</w:t>
      </w:r>
      <w:r w:rsidRPr="00653E2F">
        <w:rPr>
          <w:rFonts w:ascii="FuturaStd" w:eastAsia="Times New Roman" w:hAnsi="FuturaStd" w:cs="Times New Roman"/>
          <w:sz w:val="16"/>
          <w:szCs w:val="16"/>
        </w:rPr>
        <w:t xml:space="preserve">(4), 52–57. </w:t>
      </w:r>
    </w:p>
    <w:p w14:paraId="6A87D76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Dunham-Taylor, J. (1995). Identifying the best in nurse executive leadership. </w:t>
      </w:r>
      <w:r w:rsidRPr="00653E2F">
        <w:rPr>
          <w:rFonts w:ascii="FuturaStd" w:eastAsia="Times New Roman" w:hAnsi="FuturaStd" w:cs="Times New Roman"/>
          <w:i/>
          <w:iCs/>
          <w:sz w:val="16"/>
          <w:szCs w:val="16"/>
        </w:rPr>
        <w:t>Journal of Nursing Administration</w:t>
      </w:r>
      <w:r w:rsidRPr="00653E2F">
        <w:rPr>
          <w:rFonts w:ascii="FuturaStd" w:eastAsia="Times New Roman" w:hAnsi="FuturaStd" w:cs="Times New Roman"/>
          <w:sz w:val="16"/>
          <w:szCs w:val="16"/>
        </w:rPr>
        <w:t xml:space="preserve">, </w:t>
      </w:r>
      <w:r w:rsidRPr="00653E2F">
        <w:rPr>
          <w:rFonts w:ascii="FuturaStd" w:eastAsia="Times New Roman" w:hAnsi="FuturaStd" w:cs="Times New Roman"/>
          <w:i/>
          <w:iCs/>
          <w:sz w:val="16"/>
          <w:szCs w:val="16"/>
        </w:rPr>
        <w:t>25</w:t>
      </w:r>
      <w:r w:rsidRPr="00653E2F">
        <w:rPr>
          <w:rFonts w:ascii="FuturaStd" w:eastAsia="Times New Roman" w:hAnsi="FuturaStd" w:cs="Times New Roman"/>
          <w:sz w:val="16"/>
          <w:szCs w:val="16"/>
        </w:rPr>
        <w:t xml:space="preserve">(7/8), 24–31. </w:t>
      </w:r>
    </w:p>
    <w:p w14:paraId="785F6AC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Fennimore, L., &amp; Wolf, G. (2011). Nurse manager leadership development, </w:t>
      </w:r>
      <w:r w:rsidRPr="00653E2F">
        <w:rPr>
          <w:rFonts w:ascii="FuturaStd" w:eastAsia="Times New Roman" w:hAnsi="FuturaStd" w:cs="Times New Roman"/>
          <w:i/>
          <w:iCs/>
          <w:sz w:val="16"/>
          <w:szCs w:val="16"/>
        </w:rPr>
        <w:t>Journal of Nursing Administration</w:t>
      </w:r>
      <w:r w:rsidRPr="00653E2F">
        <w:rPr>
          <w:rFonts w:ascii="FuturaStd" w:eastAsia="Times New Roman" w:hAnsi="FuturaStd" w:cs="Times New Roman"/>
          <w:sz w:val="16"/>
          <w:szCs w:val="16"/>
        </w:rPr>
        <w:t xml:space="preserve">, </w:t>
      </w:r>
      <w:r w:rsidRPr="00653E2F">
        <w:rPr>
          <w:rFonts w:ascii="FuturaStd" w:eastAsia="Times New Roman" w:hAnsi="FuturaStd" w:cs="Times New Roman"/>
          <w:i/>
          <w:iCs/>
          <w:sz w:val="16"/>
          <w:szCs w:val="16"/>
        </w:rPr>
        <w:t>41</w:t>
      </w:r>
      <w:r w:rsidRPr="00653E2F">
        <w:rPr>
          <w:rFonts w:ascii="FuturaStd" w:eastAsia="Times New Roman" w:hAnsi="FuturaStd" w:cs="Times New Roman"/>
          <w:sz w:val="16"/>
          <w:szCs w:val="16"/>
        </w:rPr>
        <w:t xml:space="preserve">(5), 204–210. </w:t>
      </w:r>
    </w:p>
    <w:p w14:paraId="7F901E6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Greenleaf, R.K. (2004). Who is the servant-leader? In Spears, L.C., &amp; Lawrence, M., </w:t>
      </w:r>
      <w:r w:rsidRPr="00653E2F">
        <w:rPr>
          <w:rFonts w:ascii="FuturaStd" w:eastAsia="Times New Roman" w:hAnsi="FuturaStd" w:cs="Times New Roman"/>
          <w:i/>
          <w:iCs/>
          <w:sz w:val="16"/>
          <w:szCs w:val="16"/>
        </w:rPr>
        <w:t xml:space="preserve">Practicing servant- leadership. </w:t>
      </w:r>
      <w:r w:rsidRPr="00653E2F">
        <w:rPr>
          <w:rFonts w:ascii="FuturaStd" w:eastAsia="Times New Roman" w:hAnsi="FuturaStd" w:cs="Times New Roman"/>
          <w:sz w:val="16"/>
          <w:szCs w:val="16"/>
        </w:rPr>
        <w:t xml:space="preserve">New York: Jossey-Bass. </w:t>
      </w:r>
    </w:p>
    <w:p w14:paraId="56EAFB4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Hart, L.B., &amp; Waisman, C.S. (2005). </w:t>
      </w:r>
      <w:r w:rsidRPr="00653E2F">
        <w:rPr>
          <w:rFonts w:ascii="FuturaStd" w:eastAsia="Times New Roman" w:hAnsi="FuturaStd" w:cs="Times New Roman"/>
          <w:i/>
          <w:iCs/>
          <w:sz w:val="16"/>
          <w:szCs w:val="16"/>
        </w:rPr>
        <w:t xml:space="preserve">The leadership training activity book. </w:t>
      </w:r>
      <w:r w:rsidRPr="00653E2F">
        <w:rPr>
          <w:rFonts w:ascii="FuturaStd" w:eastAsia="Times New Roman" w:hAnsi="FuturaStd" w:cs="Times New Roman"/>
          <w:sz w:val="16"/>
          <w:szCs w:val="16"/>
        </w:rPr>
        <w:t xml:space="preserve">New York: AMACOM. </w:t>
      </w:r>
    </w:p>
    <w:p w14:paraId="0FB5E27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Hunter, J.C. (2004). </w:t>
      </w:r>
      <w:r w:rsidRPr="00653E2F">
        <w:rPr>
          <w:rFonts w:ascii="FuturaStd" w:eastAsia="Times New Roman" w:hAnsi="FuturaStd" w:cs="Times New Roman"/>
          <w:i/>
          <w:iCs/>
          <w:sz w:val="16"/>
          <w:szCs w:val="16"/>
        </w:rPr>
        <w:t xml:space="preserve">The world’s most powerful leadership principle. </w:t>
      </w:r>
      <w:r w:rsidRPr="00653E2F">
        <w:rPr>
          <w:rFonts w:ascii="FuturaStd" w:eastAsia="Times New Roman" w:hAnsi="FuturaStd" w:cs="Times New Roman"/>
          <w:sz w:val="16"/>
          <w:szCs w:val="16"/>
        </w:rPr>
        <w:t xml:space="preserve">New York: Crown Business. </w:t>
      </w:r>
    </w:p>
    <w:p w14:paraId="4FBE317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Jones, R.A. (2010). Preparing tomorrow’s leaders. </w:t>
      </w:r>
      <w:r w:rsidRPr="00653E2F">
        <w:rPr>
          <w:rFonts w:ascii="FuturaStd" w:eastAsia="Times New Roman" w:hAnsi="FuturaStd" w:cs="Times New Roman"/>
          <w:i/>
          <w:iCs/>
          <w:sz w:val="16"/>
          <w:szCs w:val="16"/>
        </w:rPr>
        <w:t>Journal of Nursing Administration</w:t>
      </w:r>
      <w:r w:rsidRPr="00653E2F">
        <w:rPr>
          <w:rFonts w:ascii="FuturaStd" w:eastAsia="Times New Roman" w:hAnsi="FuturaStd" w:cs="Times New Roman"/>
          <w:sz w:val="16"/>
          <w:szCs w:val="16"/>
        </w:rPr>
        <w:t xml:space="preserve">, </w:t>
      </w:r>
      <w:r w:rsidRPr="00653E2F">
        <w:rPr>
          <w:rFonts w:ascii="FuturaStd" w:eastAsia="Times New Roman" w:hAnsi="FuturaStd" w:cs="Times New Roman"/>
          <w:i/>
          <w:iCs/>
          <w:sz w:val="16"/>
          <w:szCs w:val="16"/>
        </w:rPr>
        <w:t>40</w:t>
      </w:r>
      <w:r w:rsidRPr="00653E2F">
        <w:rPr>
          <w:rFonts w:ascii="FuturaStd" w:eastAsia="Times New Roman" w:hAnsi="FuturaStd" w:cs="Times New Roman"/>
          <w:sz w:val="16"/>
          <w:szCs w:val="16"/>
        </w:rPr>
        <w:t xml:space="preserve">(4), 154–157. </w:t>
      </w:r>
    </w:p>
    <w:p w14:paraId="4E7BB50F"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Kelly, J., &amp; Nadler, S. (2007, March 3–4). Leading from below. </w:t>
      </w:r>
      <w:r w:rsidRPr="00653E2F">
        <w:rPr>
          <w:rFonts w:ascii="FuturaStd" w:eastAsia="Times New Roman" w:hAnsi="FuturaStd" w:cs="Times New Roman"/>
          <w:i/>
          <w:iCs/>
          <w:sz w:val="16"/>
          <w:szCs w:val="16"/>
        </w:rPr>
        <w:t>Wall Street Journal</w:t>
      </w:r>
      <w:r w:rsidRPr="00653E2F">
        <w:rPr>
          <w:rFonts w:ascii="FuturaStd" w:eastAsia="Times New Roman" w:hAnsi="FuturaStd" w:cs="Times New Roman"/>
          <w:sz w:val="16"/>
          <w:szCs w:val="16"/>
        </w:rPr>
        <w:t xml:space="preserve">, R4. </w:t>
      </w:r>
    </w:p>
    <w:p w14:paraId="7ADDE7B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Kovner, C.T., Brewer, C.S., Fairchild, S., et al. (2007). Newly licensed RNs’ characteristics, work attitudes, and intentions to work. </w:t>
      </w:r>
      <w:r w:rsidRPr="00653E2F">
        <w:rPr>
          <w:rFonts w:ascii="FuturaStd" w:eastAsia="Times New Roman" w:hAnsi="FuturaStd" w:cs="Times New Roman"/>
          <w:i/>
          <w:iCs/>
          <w:sz w:val="16"/>
          <w:szCs w:val="16"/>
        </w:rPr>
        <w:t>American Journal of Nursing</w:t>
      </w:r>
      <w:r w:rsidRPr="00653E2F">
        <w:rPr>
          <w:rFonts w:ascii="FuturaStd" w:eastAsia="Times New Roman" w:hAnsi="FuturaStd" w:cs="Times New Roman"/>
          <w:sz w:val="16"/>
          <w:szCs w:val="16"/>
        </w:rPr>
        <w:t xml:space="preserve">, </w:t>
      </w:r>
      <w:r w:rsidRPr="00653E2F">
        <w:rPr>
          <w:rFonts w:ascii="FuturaStd" w:eastAsia="Times New Roman" w:hAnsi="FuturaStd" w:cs="Times New Roman"/>
          <w:i/>
          <w:iCs/>
          <w:sz w:val="16"/>
          <w:szCs w:val="16"/>
        </w:rPr>
        <w:t>107</w:t>
      </w:r>
      <w:r w:rsidRPr="00653E2F">
        <w:rPr>
          <w:rFonts w:ascii="FuturaStd" w:eastAsia="Times New Roman" w:hAnsi="FuturaStd" w:cs="Times New Roman"/>
          <w:sz w:val="16"/>
          <w:szCs w:val="16"/>
        </w:rPr>
        <w:t xml:space="preserve">(9), 58–70. </w:t>
      </w:r>
    </w:p>
    <w:p w14:paraId="2E0EA36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Lee, J.A. (1980). </w:t>
      </w:r>
      <w:r w:rsidRPr="00653E2F">
        <w:rPr>
          <w:rFonts w:ascii="FuturaStd" w:eastAsia="Times New Roman" w:hAnsi="FuturaStd" w:cs="Times New Roman"/>
          <w:i/>
          <w:iCs/>
          <w:sz w:val="16"/>
          <w:szCs w:val="16"/>
        </w:rPr>
        <w:t xml:space="preserve">The gold and the garbage in management theories and prescriptions. </w:t>
      </w:r>
      <w:r w:rsidRPr="00653E2F">
        <w:rPr>
          <w:rFonts w:ascii="FuturaStd" w:eastAsia="Times New Roman" w:hAnsi="FuturaStd" w:cs="Times New Roman"/>
          <w:sz w:val="16"/>
          <w:szCs w:val="16"/>
        </w:rPr>
        <w:t xml:space="preserve">Athens, Ohio: Ohio University Press. </w:t>
      </w:r>
    </w:p>
    <w:p w14:paraId="029F9D7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Locke, E.A. (1982). The ideas of Frederick Taylor: An evaluation. </w:t>
      </w:r>
      <w:r w:rsidRPr="00653E2F">
        <w:rPr>
          <w:rFonts w:ascii="FuturaStd" w:eastAsia="Times New Roman" w:hAnsi="FuturaStd" w:cs="Times New Roman"/>
          <w:i/>
          <w:iCs/>
          <w:sz w:val="16"/>
          <w:szCs w:val="16"/>
        </w:rPr>
        <w:t>Academy of Management Review</w:t>
      </w:r>
      <w:r w:rsidRPr="00653E2F">
        <w:rPr>
          <w:rFonts w:ascii="FuturaStd" w:eastAsia="Times New Roman" w:hAnsi="FuturaStd" w:cs="Times New Roman"/>
          <w:sz w:val="16"/>
          <w:szCs w:val="16"/>
        </w:rPr>
        <w:t xml:space="preserve">, </w:t>
      </w:r>
      <w:r w:rsidRPr="00653E2F">
        <w:rPr>
          <w:rFonts w:ascii="FuturaStd" w:eastAsia="Times New Roman" w:hAnsi="FuturaStd" w:cs="Times New Roman"/>
          <w:i/>
          <w:iCs/>
          <w:sz w:val="16"/>
          <w:szCs w:val="16"/>
        </w:rPr>
        <w:t>7</w:t>
      </w:r>
      <w:r w:rsidRPr="00653E2F">
        <w:rPr>
          <w:rFonts w:ascii="FuturaStd" w:eastAsia="Times New Roman" w:hAnsi="FuturaStd" w:cs="Times New Roman"/>
          <w:sz w:val="16"/>
          <w:szCs w:val="16"/>
        </w:rPr>
        <w:t xml:space="preserve">(1), 14. Lombardi, D.N. (2001). </w:t>
      </w:r>
      <w:r w:rsidRPr="00653E2F">
        <w:rPr>
          <w:rFonts w:ascii="FuturaStd" w:eastAsia="Times New Roman" w:hAnsi="FuturaStd" w:cs="Times New Roman"/>
          <w:i/>
          <w:iCs/>
          <w:sz w:val="16"/>
          <w:szCs w:val="16"/>
        </w:rPr>
        <w:t xml:space="preserve">Handbook for the new health care </w:t>
      </w:r>
    </w:p>
    <w:p w14:paraId="4069433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sz w:val="16"/>
          <w:szCs w:val="16"/>
        </w:rPr>
        <w:t xml:space="preserve">manager. </w:t>
      </w:r>
      <w:r w:rsidRPr="00653E2F">
        <w:rPr>
          <w:rFonts w:ascii="FuturaStd" w:eastAsia="Times New Roman" w:hAnsi="FuturaStd" w:cs="Times New Roman"/>
          <w:sz w:val="16"/>
          <w:szCs w:val="16"/>
        </w:rPr>
        <w:t xml:space="preserve">San Francisco: Jossey-Bass/AHA Press. Mackoff, B.L., &amp; Triolo, P.K. (2008). Why do nurse </w:t>
      </w:r>
    </w:p>
    <w:p w14:paraId="21444C0F"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managers stay? Building a model engagement. Part I: </w:t>
      </w:r>
    </w:p>
    <w:p w14:paraId="542692F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Dimensions of engagement. </w:t>
      </w:r>
      <w:r w:rsidRPr="00653E2F">
        <w:rPr>
          <w:rFonts w:ascii="FuturaStd" w:eastAsia="Times New Roman" w:hAnsi="FuturaStd" w:cs="Times New Roman"/>
          <w:i/>
          <w:iCs/>
          <w:sz w:val="16"/>
          <w:szCs w:val="16"/>
        </w:rPr>
        <w:t xml:space="preserve">Journal of Nursing </w:t>
      </w:r>
    </w:p>
    <w:p w14:paraId="66E124C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sz w:val="16"/>
          <w:szCs w:val="16"/>
        </w:rPr>
        <w:t>Administration</w:t>
      </w:r>
      <w:r w:rsidRPr="00653E2F">
        <w:rPr>
          <w:rFonts w:ascii="FuturaStd" w:eastAsia="Times New Roman" w:hAnsi="FuturaStd" w:cs="Times New Roman"/>
          <w:sz w:val="16"/>
          <w:szCs w:val="16"/>
        </w:rPr>
        <w:t xml:space="preserve">, </w:t>
      </w:r>
      <w:r w:rsidRPr="00653E2F">
        <w:rPr>
          <w:rFonts w:ascii="FuturaStd" w:eastAsia="Times New Roman" w:hAnsi="FuturaStd" w:cs="Times New Roman"/>
          <w:i/>
          <w:iCs/>
          <w:sz w:val="16"/>
          <w:szCs w:val="16"/>
        </w:rPr>
        <w:t>38</w:t>
      </w:r>
      <w:r w:rsidRPr="00653E2F">
        <w:rPr>
          <w:rFonts w:ascii="FuturaStd" w:eastAsia="Times New Roman" w:hAnsi="FuturaStd" w:cs="Times New Roman"/>
          <w:sz w:val="16"/>
          <w:szCs w:val="16"/>
        </w:rPr>
        <w:t>(3), 118–124.</w:t>
      </w:r>
      <w:r w:rsidRPr="00653E2F">
        <w:rPr>
          <w:rFonts w:ascii="FuturaStd" w:eastAsia="Times New Roman" w:hAnsi="FuturaStd" w:cs="Times New Roman"/>
          <w:sz w:val="16"/>
          <w:szCs w:val="16"/>
        </w:rPr>
        <w:br/>
        <w:t xml:space="preserve">McCauley, C.D., &amp; Van Velson, E. (eds.) (2004). </w:t>
      </w:r>
      <w:r w:rsidRPr="00653E2F">
        <w:rPr>
          <w:rFonts w:ascii="FuturaStd" w:eastAsia="Times New Roman" w:hAnsi="FuturaStd" w:cs="Times New Roman"/>
          <w:i/>
          <w:iCs/>
          <w:sz w:val="16"/>
          <w:szCs w:val="16"/>
        </w:rPr>
        <w:t xml:space="preserve">The </w:t>
      </w:r>
    </w:p>
    <w:p w14:paraId="664D140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sz w:val="16"/>
          <w:szCs w:val="16"/>
        </w:rPr>
        <w:lastRenderedPageBreak/>
        <w:t xml:space="preserve">center for creative leadership handbook of leadership </w:t>
      </w:r>
    </w:p>
    <w:p w14:paraId="3607192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sz w:val="16"/>
          <w:szCs w:val="16"/>
        </w:rPr>
        <w:t xml:space="preserve">development. </w:t>
      </w:r>
      <w:r w:rsidRPr="00653E2F">
        <w:rPr>
          <w:rFonts w:ascii="FuturaStd" w:eastAsia="Times New Roman" w:hAnsi="FuturaStd" w:cs="Times New Roman"/>
          <w:sz w:val="16"/>
          <w:szCs w:val="16"/>
        </w:rPr>
        <w:t>New York: Jossey-Bass.</w:t>
      </w:r>
      <w:r w:rsidRPr="00653E2F">
        <w:rPr>
          <w:rFonts w:ascii="FuturaStd" w:eastAsia="Times New Roman" w:hAnsi="FuturaStd" w:cs="Times New Roman"/>
          <w:sz w:val="16"/>
          <w:szCs w:val="16"/>
        </w:rPr>
        <w:br/>
        <w:t xml:space="preserve">McGregor, D. (1960). </w:t>
      </w:r>
      <w:r w:rsidRPr="00653E2F">
        <w:rPr>
          <w:rFonts w:ascii="FuturaStd" w:eastAsia="Times New Roman" w:hAnsi="FuturaStd" w:cs="Times New Roman"/>
          <w:i/>
          <w:iCs/>
          <w:sz w:val="16"/>
          <w:szCs w:val="16"/>
        </w:rPr>
        <w:t xml:space="preserve">The Human Side of Enterprise. </w:t>
      </w:r>
      <w:r w:rsidRPr="00653E2F">
        <w:rPr>
          <w:rFonts w:ascii="FuturaStd" w:eastAsia="Times New Roman" w:hAnsi="FuturaStd" w:cs="Times New Roman"/>
          <w:sz w:val="16"/>
          <w:szCs w:val="16"/>
        </w:rPr>
        <w:t xml:space="preserve">New </w:t>
      </w:r>
    </w:p>
    <w:p w14:paraId="495DC71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York: McGraw-Hill.</w:t>
      </w:r>
      <w:r w:rsidRPr="00653E2F">
        <w:rPr>
          <w:rFonts w:ascii="FuturaStd" w:eastAsia="Times New Roman" w:hAnsi="FuturaStd" w:cs="Times New Roman"/>
          <w:sz w:val="16"/>
          <w:szCs w:val="16"/>
        </w:rPr>
        <w:br/>
        <w:t xml:space="preserve">Micklethwait, J. (2011). Foreword in Wooldridge, A. </w:t>
      </w:r>
    </w:p>
    <w:p w14:paraId="2DAC6F5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sz w:val="16"/>
          <w:szCs w:val="16"/>
        </w:rPr>
        <w:t>Masters of management</w:t>
      </w:r>
      <w:r w:rsidRPr="00653E2F">
        <w:rPr>
          <w:rFonts w:ascii="FuturaStd" w:eastAsia="Times New Roman" w:hAnsi="FuturaStd" w:cs="Times New Roman"/>
          <w:sz w:val="16"/>
          <w:szCs w:val="16"/>
        </w:rPr>
        <w:t xml:space="preserve">, NY: Harper Collins. Mintzberg, H. (1989). </w:t>
      </w:r>
      <w:r w:rsidRPr="00653E2F">
        <w:rPr>
          <w:rFonts w:ascii="FuturaStd" w:eastAsia="Times New Roman" w:hAnsi="FuturaStd" w:cs="Times New Roman"/>
          <w:i/>
          <w:iCs/>
          <w:sz w:val="16"/>
          <w:szCs w:val="16"/>
        </w:rPr>
        <w:t xml:space="preserve">Mintzberg on management: Inside </w:t>
      </w:r>
    </w:p>
    <w:p w14:paraId="4B3915B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sz w:val="16"/>
          <w:szCs w:val="16"/>
        </w:rPr>
        <w:t xml:space="preserve">our strange world of organizations. </w:t>
      </w:r>
      <w:r w:rsidRPr="00653E2F">
        <w:rPr>
          <w:rFonts w:ascii="FuturaStd" w:eastAsia="Times New Roman" w:hAnsi="FuturaStd" w:cs="Times New Roman"/>
          <w:sz w:val="16"/>
          <w:szCs w:val="16"/>
        </w:rPr>
        <w:t xml:space="preserve">New York: Free </w:t>
      </w:r>
    </w:p>
    <w:p w14:paraId="680383B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Press.</w:t>
      </w:r>
      <w:r w:rsidRPr="00653E2F">
        <w:rPr>
          <w:rFonts w:ascii="FuturaStd" w:eastAsia="Times New Roman" w:hAnsi="FuturaStd" w:cs="Times New Roman"/>
          <w:sz w:val="16"/>
          <w:szCs w:val="16"/>
        </w:rPr>
        <w:br/>
        <w:t xml:space="preserve">Montebello, A. (1994). </w:t>
      </w:r>
      <w:r w:rsidRPr="00653E2F">
        <w:rPr>
          <w:rFonts w:ascii="FuturaStd" w:eastAsia="Times New Roman" w:hAnsi="FuturaStd" w:cs="Times New Roman"/>
          <w:i/>
          <w:iCs/>
          <w:sz w:val="16"/>
          <w:szCs w:val="16"/>
        </w:rPr>
        <w:t xml:space="preserve">Work teams that work. </w:t>
      </w:r>
    </w:p>
    <w:p w14:paraId="69E0188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Minneapolis: Best Sellers Publishing.</w:t>
      </w:r>
      <w:r w:rsidRPr="00653E2F">
        <w:rPr>
          <w:rFonts w:ascii="FuturaStd" w:eastAsia="Times New Roman" w:hAnsi="FuturaStd" w:cs="Times New Roman"/>
          <w:sz w:val="16"/>
          <w:szCs w:val="16"/>
        </w:rPr>
        <w:br/>
        <w:t xml:space="preserve">Schaffer, R.H. (2010/September). Mistakes leaders keep </w:t>
      </w:r>
    </w:p>
    <w:p w14:paraId="551AF81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making. </w:t>
      </w:r>
      <w:r w:rsidRPr="00653E2F">
        <w:rPr>
          <w:rFonts w:ascii="FuturaStd" w:eastAsia="Times New Roman" w:hAnsi="FuturaStd" w:cs="Times New Roman"/>
          <w:i/>
          <w:iCs/>
          <w:sz w:val="16"/>
          <w:szCs w:val="16"/>
        </w:rPr>
        <w:t>Harvard Business Review</w:t>
      </w:r>
      <w:r w:rsidRPr="00653E2F">
        <w:rPr>
          <w:rFonts w:ascii="FuturaStd" w:eastAsia="Times New Roman" w:hAnsi="FuturaStd" w:cs="Times New Roman"/>
          <w:sz w:val="16"/>
          <w:szCs w:val="16"/>
        </w:rPr>
        <w:t>, 87–91.</w:t>
      </w:r>
      <w:r w:rsidRPr="00653E2F">
        <w:rPr>
          <w:rFonts w:ascii="FuturaStd" w:eastAsia="Times New Roman" w:hAnsi="FuturaStd" w:cs="Times New Roman"/>
          <w:sz w:val="16"/>
          <w:szCs w:val="16"/>
        </w:rPr>
        <w:br/>
        <w:t xml:space="preserve">Shirey, M.R. (2007). Competencies and tips for effective </w:t>
      </w:r>
    </w:p>
    <w:p w14:paraId="06ABA76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leadership. </w:t>
      </w:r>
      <w:r w:rsidRPr="00653E2F">
        <w:rPr>
          <w:rFonts w:ascii="FuturaStd" w:eastAsia="Times New Roman" w:hAnsi="FuturaStd" w:cs="Times New Roman"/>
          <w:i/>
          <w:iCs/>
          <w:sz w:val="16"/>
          <w:szCs w:val="16"/>
        </w:rPr>
        <w:t>Journal of Nursing Administration</w:t>
      </w:r>
      <w:r w:rsidRPr="00653E2F">
        <w:rPr>
          <w:rFonts w:ascii="FuturaStd" w:eastAsia="Times New Roman" w:hAnsi="FuturaStd" w:cs="Times New Roman"/>
          <w:sz w:val="16"/>
          <w:szCs w:val="16"/>
        </w:rPr>
        <w:t xml:space="preserve">, </w:t>
      </w:r>
      <w:r w:rsidRPr="00653E2F">
        <w:rPr>
          <w:rFonts w:ascii="FuturaStd" w:eastAsia="Times New Roman" w:hAnsi="FuturaStd" w:cs="Times New Roman"/>
          <w:i/>
          <w:iCs/>
          <w:sz w:val="16"/>
          <w:szCs w:val="16"/>
        </w:rPr>
        <w:t>37</w:t>
      </w:r>
      <w:r w:rsidRPr="00653E2F">
        <w:rPr>
          <w:rFonts w:ascii="FuturaStd" w:eastAsia="Times New Roman" w:hAnsi="FuturaStd" w:cs="Times New Roman"/>
          <w:sz w:val="16"/>
          <w:szCs w:val="16"/>
        </w:rPr>
        <w:t xml:space="preserve">(4), </w:t>
      </w:r>
    </w:p>
    <w:p w14:paraId="0240E9B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167–170.</w:t>
      </w:r>
      <w:r w:rsidRPr="00653E2F">
        <w:rPr>
          <w:rFonts w:ascii="FuturaStd" w:eastAsia="Times New Roman" w:hAnsi="FuturaStd" w:cs="Times New Roman"/>
          <w:sz w:val="16"/>
          <w:szCs w:val="16"/>
        </w:rPr>
        <w:br/>
        <w:t xml:space="preserve">Shirey, M.R., Ebright, P.R., &amp; McDaniel, A.M. (2008). </w:t>
      </w:r>
    </w:p>
    <w:p w14:paraId="0F53C5A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Sleepless in America: Nurse managers cope with stress and complexity. </w:t>
      </w:r>
      <w:r w:rsidRPr="00653E2F">
        <w:rPr>
          <w:rFonts w:ascii="FuturaStd" w:eastAsia="Times New Roman" w:hAnsi="FuturaStd" w:cs="Times New Roman"/>
          <w:i/>
          <w:iCs/>
          <w:sz w:val="16"/>
          <w:szCs w:val="16"/>
        </w:rPr>
        <w:t>Journal of Nursing Administration</w:t>
      </w:r>
      <w:r w:rsidRPr="00653E2F">
        <w:rPr>
          <w:rFonts w:ascii="FuturaStd" w:eastAsia="Times New Roman" w:hAnsi="FuturaStd" w:cs="Times New Roman"/>
          <w:sz w:val="16"/>
          <w:szCs w:val="16"/>
        </w:rPr>
        <w:t xml:space="preserve">, </w:t>
      </w:r>
      <w:r w:rsidRPr="00653E2F">
        <w:rPr>
          <w:rFonts w:ascii="FuturaStd" w:eastAsia="Times New Roman" w:hAnsi="FuturaStd" w:cs="Times New Roman"/>
          <w:i/>
          <w:iCs/>
          <w:sz w:val="16"/>
          <w:szCs w:val="16"/>
        </w:rPr>
        <w:t>38</w:t>
      </w:r>
      <w:r w:rsidRPr="00653E2F">
        <w:rPr>
          <w:rFonts w:ascii="FuturaStd" w:eastAsia="Times New Roman" w:hAnsi="FuturaStd" w:cs="Times New Roman"/>
          <w:sz w:val="16"/>
          <w:szCs w:val="16"/>
        </w:rPr>
        <w:t xml:space="preserve">(3), 125–131. </w:t>
      </w:r>
    </w:p>
    <w:p w14:paraId="1BD2C19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Spears, L.C., &amp; Lawrence, M. (2004). </w:t>
      </w:r>
      <w:r w:rsidRPr="00653E2F">
        <w:rPr>
          <w:rFonts w:ascii="FuturaStd" w:eastAsia="Times New Roman" w:hAnsi="FuturaStd" w:cs="Times New Roman"/>
          <w:i/>
          <w:iCs/>
          <w:sz w:val="16"/>
          <w:szCs w:val="16"/>
        </w:rPr>
        <w:t xml:space="preserve">Practicing servant- leadership. </w:t>
      </w:r>
      <w:r w:rsidRPr="00653E2F">
        <w:rPr>
          <w:rFonts w:ascii="FuturaStd" w:eastAsia="Times New Roman" w:hAnsi="FuturaStd" w:cs="Times New Roman"/>
          <w:sz w:val="16"/>
          <w:szCs w:val="16"/>
        </w:rPr>
        <w:t xml:space="preserve">New York: Jossey-Bass. </w:t>
      </w:r>
    </w:p>
    <w:p w14:paraId="7F5A46A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Suddath, C. (2013, November 11–17). You get a D</w:t>
      </w:r>
      <w:r w:rsidRPr="00653E2F">
        <w:rPr>
          <w:rFonts w:ascii="SymbolNew" w:eastAsia="Times New Roman" w:hAnsi="SymbolNew" w:cs="Times New Roman"/>
          <w:sz w:val="16"/>
          <w:szCs w:val="16"/>
        </w:rPr>
        <w:t xml:space="preserve">+ </w:t>
      </w:r>
      <w:r w:rsidRPr="00653E2F">
        <w:rPr>
          <w:rFonts w:ascii="FuturaStd" w:eastAsia="Times New Roman" w:hAnsi="FuturaStd" w:cs="Times New Roman"/>
          <w:sz w:val="16"/>
          <w:szCs w:val="16"/>
        </w:rPr>
        <w:t xml:space="preserve">in teamwork. </w:t>
      </w:r>
      <w:r w:rsidRPr="00653E2F">
        <w:rPr>
          <w:rFonts w:ascii="FuturaStd" w:eastAsia="Times New Roman" w:hAnsi="FuturaStd" w:cs="Times New Roman"/>
          <w:i/>
          <w:iCs/>
          <w:sz w:val="16"/>
          <w:szCs w:val="16"/>
        </w:rPr>
        <w:t>Bloomberg Businessweek</w:t>
      </w:r>
      <w:r w:rsidRPr="00653E2F">
        <w:rPr>
          <w:rFonts w:ascii="FuturaStd" w:eastAsia="Times New Roman" w:hAnsi="FuturaStd" w:cs="Times New Roman"/>
          <w:sz w:val="16"/>
          <w:szCs w:val="16"/>
        </w:rPr>
        <w:t xml:space="preserve">, 91. </w:t>
      </w:r>
    </w:p>
    <w:p w14:paraId="45554B5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Trossman, S. (2011). Complex role in complex times. </w:t>
      </w:r>
      <w:r w:rsidRPr="00653E2F">
        <w:rPr>
          <w:rFonts w:ascii="FuturaStd" w:eastAsia="Times New Roman" w:hAnsi="FuturaStd" w:cs="Times New Roman"/>
          <w:i/>
          <w:iCs/>
          <w:sz w:val="16"/>
          <w:szCs w:val="16"/>
        </w:rPr>
        <w:t>The American Nurse</w:t>
      </w:r>
      <w:r w:rsidRPr="00653E2F">
        <w:rPr>
          <w:rFonts w:ascii="FuturaStd" w:eastAsia="Times New Roman" w:hAnsi="FuturaStd" w:cs="Times New Roman"/>
          <w:sz w:val="16"/>
          <w:szCs w:val="16"/>
        </w:rPr>
        <w:t xml:space="preserve">, </w:t>
      </w:r>
      <w:r w:rsidRPr="00653E2F">
        <w:rPr>
          <w:rFonts w:ascii="FuturaStd" w:eastAsia="Times New Roman" w:hAnsi="FuturaStd" w:cs="Times New Roman"/>
          <w:i/>
          <w:iCs/>
          <w:sz w:val="16"/>
          <w:szCs w:val="16"/>
        </w:rPr>
        <w:t>43</w:t>
      </w:r>
      <w:r w:rsidRPr="00653E2F">
        <w:rPr>
          <w:rFonts w:ascii="FuturaStd" w:eastAsia="Times New Roman" w:hAnsi="FuturaStd" w:cs="Times New Roman"/>
          <w:sz w:val="16"/>
          <w:szCs w:val="16"/>
        </w:rPr>
        <w:t xml:space="preserve">(4), 1, 6, 7. </w:t>
      </w:r>
    </w:p>
    <w:p w14:paraId="7438E86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Welch, J., &amp; Welch, S. (2007, July 23). Bosses who get it all wrong. </w:t>
      </w:r>
      <w:r w:rsidRPr="00653E2F">
        <w:rPr>
          <w:rFonts w:ascii="FuturaStd" w:eastAsia="Times New Roman" w:hAnsi="FuturaStd" w:cs="Times New Roman"/>
          <w:i/>
          <w:iCs/>
          <w:sz w:val="16"/>
          <w:szCs w:val="16"/>
        </w:rPr>
        <w:t>Bloomberg Businessweek</w:t>
      </w:r>
      <w:r w:rsidRPr="00653E2F">
        <w:rPr>
          <w:rFonts w:ascii="FuturaStd" w:eastAsia="Times New Roman" w:hAnsi="FuturaStd" w:cs="Times New Roman"/>
          <w:sz w:val="16"/>
          <w:szCs w:val="16"/>
        </w:rPr>
        <w:t xml:space="preserve">, 88. </w:t>
      </w:r>
    </w:p>
    <w:p w14:paraId="4638AB6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Welch, J., &amp; Welch, S. (2008, July 28). Emotional mismanagement. </w:t>
      </w:r>
      <w:r w:rsidRPr="00653E2F">
        <w:rPr>
          <w:rFonts w:ascii="FuturaStd" w:eastAsia="Times New Roman" w:hAnsi="FuturaStd" w:cs="Times New Roman"/>
          <w:i/>
          <w:iCs/>
          <w:sz w:val="16"/>
          <w:szCs w:val="16"/>
        </w:rPr>
        <w:t>Bloomberg Businessweek</w:t>
      </w:r>
      <w:r w:rsidRPr="00653E2F">
        <w:rPr>
          <w:rFonts w:ascii="FuturaStd" w:eastAsia="Times New Roman" w:hAnsi="FuturaStd" w:cs="Times New Roman"/>
          <w:sz w:val="16"/>
          <w:szCs w:val="16"/>
        </w:rPr>
        <w:t xml:space="preserve">, 84. </w:t>
      </w:r>
    </w:p>
    <w:p w14:paraId="0714958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Wiseman, L., &amp; McKeown, G. (2010/May). Bringing out the best in your people. </w:t>
      </w:r>
      <w:r w:rsidRPr="00653E2F">
        <w:rPr>
          <w:rFonts w:ascii="FuturaStd" w:eastAsia="Times New Roman" w:hAnsi="FuturaStd" w:cs="Times New Roman"/>
          <w:i/>
          <w:iCs/>
          <w:sz w:val="16"/>
          <w:szCs w:val="16"/>
        </w:rPr>
        <w:t>Harvard Business Review</w:t>
      </w:r>
      <w:r w:rsidRPr="00653E2F">
        <w:rPr>
          <w:rFonts w:ascii="FuturaStd" w:eastAsia="Times New Roman" w:hAnsi="FuturaStd" w:cs="Times New Roman"/>
          <w:sz w:val="16"/>
          <w:szCs w:val="16"/>
        </w:rPr>
        <w:t xml:space="preserve">, Reprint R1005k, 1–5. </w:t>
      </w:r>
    </w:p>
    <w:p w14:paraId="3BB8AF8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Wren, D.A. (1972). </w:t>
      </w:r>
      <w:r w:rsidRPr="00653E2F">
        <w:rPr>
          <w:rFonts w:ascii="FuturaStd" w:eastAsia="Times New Roman" w:hAnsi="FuturaStd" w:cs="Times New Roman"/>
          <w:i/>
          <w:iCs/>
          <w:sz w:val="16"/>
          <w:szCs w:val="16"/>
        </w:rPr>
        <w:t xml:space="preserve">The evolution of management thought. </w:t>
      </w:r>
      <w:r w:rsidRPr="00653E2F">
        <w:rPr>
          <w:rFonts w:ascii="FuturaStd" w:eastAsia="Times New Roman" w:hAnsi="FuturaStd" w:cs="Times New Roman"/>
          <w:sz w:val="16"/>
          <w:szCs w:val="16"/>
        </w:rPr>
        <w:t xml:space="preserve">New York: Ronald Press. </w:t>
      </w:r>
    </w:p>
    <w:p w14:paraId="3732F8A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chapter </w:t>
      </w:r>
      <w:r w:rsidRPr="00653E2F">
        <w:rPr>
          <w:rFonts w:ascii="FuturaStd" w:eastAsia="Times New Roman" w:hAnsi="FuturaStd" w:cs="Times New Roman"/>
          <w:sz w:val="20"/>
          <w:szCs w:val="20"/>
        </w:rPr>
        <w:t xml:space="preserve">2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Manager </w:t>
      </w:r>
      <w:r w:rsidRPr="00653E2F">
        <w:rPr>
          <w:rFonts w:ascii="ACaslonPro" w:eastAsia="Times New Roman" w:hAnsi="ACaslonPro" w:cs="Times New Roman"/>
          <w:b/>
          <w:bCs/>
          <w:i/>
          <w:iCs/>
          <w:sz w:val="20"/>
          <w:szCs w:val="20"/>
        </w:rPr>
        <w:t xml:space="preserve">25 </w:t>
      </w:r>
    </w:p>
    <w:p w14:paraId="397A0F5C" w14:textId="11263FF8"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lastRenderedPageBreak/>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"/var/folders/xx/b74wr1s110v7wd4fcc2vzqx80000gn/T/com.microsoft.Word/WebArchiveCopyPasteTempFiles/page38image38429312"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4339BD07" wp14:editId="66DB966A">
            <wp:extent cx="1068070" cy="2743200"/>
            <wp:effectExtent l="0" t="0" r="0" b="0"/>
            <wp:docPr id="39" name="Picture 39" descr="page38image384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ge38image384293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807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1AAC1D7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color w:val="A30A00"/>
          <w:sz w:val="28"/>
          <w:szCs w:val="28"/>
        </w:rPr>
        <w:t xml:space="preserve">chapter </w:t>
      </w:r>
      <w:r w:rsidRPr="00653E2F">
        <w:rPr>
          <w:rFonts w:ascii="FuturaStd" w:eastAsia="Times New Roman" w:hAnsi="FuturaStd" w:cs="Times New Roman"/>
          <w:color w:val="A30A00"/>
          <w:sz w:val="72"/>
          <w:szCs w:val="72"/>
        </w:rPr>
        <w:t xml:space="preserve">3 </w:t>
      </w:r>
      <w:r w:rsidRPr="00653E2F">
        <w:rPr>
          <w:rFonts w:ascii="MinionPro" w:eastAsia="Times New Roman" w:hAnsi="MinionPro" w:cs="Times New Roman"/>
          <w:color w:val="075E68"/>
          <w:sz w:val="48"/>
          <w:szCs w:val="48"/>
        </w:rPr>
        <w:t xml:space="preserve">Nursing Practice and the Law </w:t>
      </w:r>
    </w:p>
    <w:p w14:paraId="57F2CD98" w14:textId="6B145F52"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"/var/folders/xx/b74wr1s110v7wd4fcc2vzqx80000gn/T/com.microsoft.Word/WebArchiveCopyPasteTempFiles/page40image38752960"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1915844C" wp14:editId="6063ADEE">
            <wp:extent cx="5269230" cy="18415"/>
            <wp:effectExtent l="0" t="0" r="1270" b="0"/>
            <wp:docPr id="38" name="Picture 38" descr="page40image38752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age40image3875296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69230" cy="18415"/>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18C633F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FF6619"/>
          <w:sz w:val="16"/>
          <w:szCs w:val="16"/>
        </w:rPr>
        <w:t xml:space="preserve">OBJECTIVES </w:t>
      </w:r>
    </w:p>
    <w:p w14:paraId="06C5166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sz w:val="16"/>
          <w:szCs w:val="16"/>
        </w:rPr>
        <w:t xml:space="preserve">After reading this chapter, the student should be able to: </w:t>
      </w:r>
    </w:p>
    <w:p w14:paraId="51F833D2" w14:textId="77777777" w:rsidR="00653E2F" w:rsidRPr="00653E2F" w:rsidRDefault="00653E2F" w:rsidP="00653E2F">
      <w:pPr>
        <w:numPr>
          <w:ilvl w:val="0"/>
          <w:numId w:val="6"/>
        </w:numPr>
        <w:spacing w:before="100" w:beforeAutospacing="1" w:after="100" w:afterAutospacing="1"/>
        <w:rPr>
          <w:rFonts w:ascii="ZapfDingbats" w:eastAsia="Times New Roman" w:hAnsi="ZapfDingbats" w:cs="Times New Roman"/>
          <w:color w:val="00FF00"/>
          <w:position w:val="2"/>
          <w:sz w:val="8"/>
          <w:szCs w:val="8"/>
        </w:rPr>
      </w:pPr>
      <w:r w:rsidRPr="00653E2F">
        <w:rPr>
          <w:rFonts w:ascii="ACaslonPro" w:eastAsia="Times New Roman" w:hAnsi="ACaslonPro" w:cs="Times New Roman"/>
          <w:color w:val="00FF00"/>
          <w:position w:val="2"/>
          <w:sz w:val="16"/>
          <w:szCs w:val="16"/>
        </w:rPr>
        <w:t xml:space="preserve">Identify three major sources of laws. </w:t>
      </w:r>
    </w:p>
    <w:p w14:paraId="39E8DC0D" w14:textId="77777777" w:rsidR="00653E2F" w:rsidRPr="00653E2F" w:rsidRDefault="00653E2F" w:rsidP="00653E2F">
      <w:pPr>
        <w:numPr>
          <w:ilvl w:val="0"/>
          <w:numId w:val="6"/>
        </w:numPr>
        <w:spacing w:before="100" w:beforeAutospacing="1" w:after="100" w:afterAutospacing="1"/>
        <w:rPr>
          <w:rFonts w:ascii="ZapfDingbats" w:eastAsia="Times New Roman" w:hAnsi="ZapfDingbats" w:cs="Times New Roman"/>
          <w:color w:val="00FF00"/>
          <w:position w:val="2"/>
          <w:sz w:val="8"/>
          <w:szCs w:val="8"/>
        </w:rPr>
      </w:pPr>
      <w:r w:rsidRPr="00653E2F">
        <w:rPr>
          <w:rFonts w:ascii="ACaslonPro" w:eastAsia="Times New Roman" w:hAnsi="ACaslonPro" w:cs="Times New Roman"/>
          <w:color w:val="00FF00"/>
          <w:position w:val="2"/>
          <w:sz w:val="16"/>
          <w:szCs w:val="16"/>
        </w:rPr>
        <w:t xml:space="preserve">Explain the differences between various types of laws. </w:t>
      </w:r>
    </w:p>
    <w:p w14:paraId="354EB39E" w14:textId="77777777" w:rsidR="00653E2F" w:rsidRPr="00653E2F" w:rsidRDefault="00653E2F" w:rsidP="00653E2F">
      <w:pPr>
        <w:numPr>
          <w:ilvl w:val="0"/>
          <w:numId w:val="6"/>
        </w:numPr>
        <w:spacing w:before="100" w:beforeAutospacing="1" w:after="100" w:afterAutospacing="1"/>
        <w:rPr>
          <w:rFonts w:ascii="ZapfDingbats" w:eastAsia="Times New Roman" w:hAnsi="ZapfDingbats" w:cs="Times New Roman"/>
          <w:color w:val="00FF00"/>
          <w:position w:val="2"/>
          <w:sz w:val="8"/>
          <w:szCs w:val="8"/>
        </w:rPr>
      </w:pPr>
      <w:r w:rsidRPr="00653E2F">
        <w:rPr>
          <w:rFonts w:ascii="ACaslonPro" w:eastAsia="Times New Roman" w:hAnsi="ACaslonPro" w:cs="Times New Roman"/>
          <w:color w:val="00FF00"/>
          <w:position w:val="2"/>
          <w:sz w:val="16"/>
          <w:szCs w:val="16"/>
        </w:rPr>
        <w:t xml:space="preserve">Differentiate between negligence and malpractice. </w:t>
      </w:r>
    </w:p>
    <w:p w14:paraId="274D8686" w14:textId="77777777" w:rsidR="00653E2F" w:rsidRPr="00653E2F" w:rsidRDefault="00653E2F" w:rsidP="00653E2F">
      <w:pPr>
        <w:numPr>
          <w:ilvl w:val="0"/>
          <w:numId w:val="6"/>
        </w:numPr>
        <w:spacing w:before="100" w:beforeAutospacing="1" w:after="100" w:afterAutospacing="1"/>
        <w:rPr>
          <w:rFonts w:ascii="ZapfDingbats" w:eastAsia="Times New Roman" w:hAnsi="ZapfDingbats" w:cs="Times New Roman"/>
          <w:color w:val="00FF00"/>
          <w:position w:val="2"/>
          <w:sz w:val="8"/>
          <w:szCs w:val="8"/>
        </w:rPr>
      </w:pPr>
      <w:r w:rsidRPr="00653E2F">
        <w:rPr>
          <w:rFonts w:ascii="ACaslonPro" w:eastAsia="Times New Roman" w:hAnsi="ACaslonPro" w:cs="Times New Roman"/>
          <w:color w:val="00FF00"/>
          <w:position w:val="2"/>
          <w:sz w:val="16"/>
          <w:szCs w:val="16"/>
        </w:rPr>
        <w:t xml:space="preserve">Explain the difference between an intentional and an unintentional tort. </w:t>
      </w:r>
    </w:p>
    <w:p w14:paraId="642E7927" w14:textId="77777777" w:rsidR="00653E2F" w:rsidRPr="00653E2F" w:rsidRDefault="00653E2F" w:rsidP="00653E2F">
      <w:pPr>
        <w:numPr>
          <w:ilvl w:val="0"/>
          <w:numId w:val="6"/>
        </w:numPr>
        <w:spacing w:before="100" w:beforeAutospacing="1" w:after="100" w:afterAutospacing="1"/>
        <w:rPr>
          <w:rFonts w:ascii="ZapfDingbats" w:eastAsia="Times New Roman" w:hAnsi="ZapfDingbats" w:cs="Times New Roman"/>
          <w:color w:val="00FF00"/>
          <w:position w:val="2"/>
          <w:sz w:val="8"/>
          <w:szCs w:val="8"/>
        </w:rPr>
      </w:pPr>
      <w:r w:rsidRPr="00653E2F">
        <w:rPr>
          <w:rFonts w:ascii="ACaslonPro" w:eastAsia="Times New Roman" w:hAnsi="ACaslonPro" w:cs="Times New Roman"/>
          <w:color w:val="00FF00"/>
          <w:position w:val="2"/>
          <w:sz w:val="16"/>
          <w:szCs w:val="16"/>
        </w:rPr>
        <w:t xml:space="preserve">Explain how standards of care are used in determining negligence and malpractice. </w:t>
      </w:r>
    </w:p>
    <w:p w14:paraId="65EAA907" w14:textId="77777777" w:rsidR="00653E2F" w:rsidRPr="00653E2F" w:rsidRDefault="00653E2F" w:rsidP="00653E2F">
      <w:pPr>
        <w:numPr>
          <w:ilvl w:val="0"/>
          <w:numId w:val="6"/>
        </w:numPr>
        <w:spacing w:before="100" w:beforeAutospacing="1" w:after="100" w:afterAutospacing="1"/>
        <w:rPr>
          <w:rFonts w:ascii="ZapfDingbats" w:eastAsia="Times New Roman" w:hAnsi="ZapfDingbats" w:cs="Times New Roman"/>
          <w:color w:val="00FF00"/>
          <w:position w:val="2"/>
          <w:sz w:val="8"/>
          <w:szCs w:val="8"/>
        </w:rPr>
      </w:pPr>
      <w:r w:rsidRPr="00653E2F">
        <w:rPr>
          <w:rFonts w:ascii="ACaslonPro" w:eastAsia="Times New Roman" w:hAnsi="ACaslonPro" w:cs="Times New Roman"/>
          <w:color w:val="00FF00"/>
          <w:position w:val="2"/>
          <w:sz w:val="16"/>
          <w:szCs w:val="16"/>
        </w:rPr>
        <w:t xml:space="preserve">Describe how nurse practice acts guide nursing practice. </w:t>
      </w:r>
    </w:p>
    <w:p w14:paraId="766365E7" w14:textId="77777777" w:rsidR="00653E2F" w:rsidRPr="00653E2F" w:rsidRDefault="00653E2F" w:rsidP="00653E2F">
      <w:pPr>
        <w:numPr>
          <w:ilvl w:val="0"/>
          <w:numId w:val="6"/>
        </w:numPr>
        <w:spacing w:before="100" w:beforeAutospacing="1" w:after="100" w:afterAutospacing="1"/>
        <w:rPr>
          <w:rFonts w:ascii="ZapfDingbats" w:eastAsia="Times New Roman" w:hAnsi="ZapfDingbats" w:cs="Times New Roman"/>
          <w:color w:val="00FF00"/>
          <w:position w:val="2"/>
          <w:sz w:val="8"/>
          <w:szCs w:val="8"/>
        </w:rPr>
      </w:pPr>
      <w:r w:rsidRPr="00653E2F">
        <w:rPr>
          <w:rFonts w:ascii="ACaslonPro" w:eastAsia="Times New Roman" w:hAnsi="ACaslonPro" w:cs="Times New Roman"/>
          <w:color w:val="00FF00"/>
          <w:position w:val="2"/>
          <w:sz w:val="16"/>
          <w:szCs w:val="16"/>
        </w:rPr>
        <w:t xml:space="preserve">Explain the purpose of licensure. </w:t>
      </w:r>
    </w:p>
    <w:p w14:paraId="5E49527E" w14:textId="77777777" w:rsidR="00653E2F" w:rsidRPr="00653E2F" w:rsidRDefault="00653E2F" w:rsidP="00653E2F">
      <w:pPr>
        <w:numPr>
          <w:ilvl w:val="0"/>
          <w:numId w:val="6"/>
        </w:numPr>
        <w:spacing w:before="100" w:beforeAutospacing="1" w:after="100" w:afterAutospacing="1"/>
        <w:rPr>
          <w:rFonts w:ascii="ZapfDingbats" w:eastAsia="Times New Roman" w:hAnsi="ZapfDingbats" w:cs="Times New Roman"/>
          <w:color w:val="00FF00"/>
          <w:position w:val="2"/>
          <w:sz w:val="8"/>
          <w:szCs w:val="8"/>
        </w:rPr>
      </w:pPr>
      <w:r w:rsidRPr="00653E2F">
        <w:rPr>
          <w:rFonts w:ascii="ACaslonPro" w:eastAsia="Times New Roman" w:hAnsi="ACaslonPro" w:cs="Times New Roman"/>
          <w:color w:val="00FF00"/>
          <w:position w:val="2"/>
          <w:sz w:val="16"/>
          <w:szCs w:val="16"/>
        </w:rPr>
        <w:t xml:space="preserve">Discuss issues of licensure. </w:t>
      </w:r>
    </w:p>
    <w:p w14:paraId="3DEE841D" w14:textId="77777777" w:rsidR="00653E2F" w:rsidRPr="00653E2F" w:rsidRDefault="00653E2F" w:rsidP="00653E2F">
      <w:pPr>
        <w:numPr>
          <w:ilvl w:val="0"/>
          <w:numId w:val="6"/>
        </w:numPr>
        <w:spacing w:before="100" w:beforeAutospacing="1" w:after="100" w:afterAutospacing="1"/>
        <w:rPr>
          <w:rFonts w:ascii="ZapfDingbats" w:eastAsia="Times New Roman" w:hAnsi="ZapfDingbats" w:cs="Times New Roman"/>
          <w:color w:val="00FF00"/>
          <w:position w:val="2"/>
          <w:sz w:val="8"/>
          <w:szCs w:val="8"/>
        </w:rPr>
      </w:pPr>
      <w:r w:rsidRPr="00653E2F">
        <w:rPr>
          <w:rFonts w:ascii="ACaslonPro" w:eastAsia="Times New Roman" w:hAnsi="ACaslonPro" w:cs="Times New Roman"/>
          <w:color w:val="00FF00"/>
          <w:position w:val="2"/>
          <w:sz w:val="16"/>
          <w:szCs w:val="16"/>
        </w:rPr>
        <w:t xml:space="preserve">Explain the difference between internal standards and external standards. </w:t>
      </w:r>
    </w:p>
    <w:p w14:paraId="024F2C4C" w14:textId="77777777" w:rsidR="00653E2F" w:rsidRPr="00653E2F" w:rsidRDefault="00653E2F" w:rsidP="00653E2F">
      <w:pPr>
        <w:numPr>
          <w:ilvl w:val="0"/>
          <w:numId w:val="6"/>
        </w:numPr>
        <w:spacing w:before="100" w:beforeAutospacing="1" w:after="100" w:afterAutospacing="1"/>
        <w:rPr>
          <w:rFonts w:ascii="ZapfDingbats" w:eastAsia="Times New Roman" w:hAnsi="ZapfDingbats" w:cs="Times New Roman"/>
          <w:color w:val="00FF00"/>
          <w:position w:val="2"/>
          <w:sz w:val="8"/>
          <w:szCs w:val="8"/>
        </w:rPr>
      </w:pPr>
      <w:r w:rsidRPr="00653E2F">
        <w:rPr>
          <w:rFonts w:ascii="ACaslonPro" w:eastAsia="Times New Roman" w:hAnsi="ACaslonPro" w:cs="Times New Roman"/>
          <w:color w:val="00FF00"/>
          <w:position w:val="2"/>
          <w:sz w:val="16"/>
          <w:szCs w:val="16"/>
        </w:rPr>
        <w:t xml:space="preserve">Discuss advance directives and how they pertain to clients’ rights. </w:t>
      </w:r>
    </w:p>
    <w:p w14:paraId="32631855" w14:textId="77777777" w:rsidR="00653E2F" w:rsidRPr="00653E2F" w:rsidRDefault="00653E2F" w:rsidP="00653E2F">
      <w:pPr>
        <w:numPr>
          <w:ilvl w:val="0"/>
          <w:numId w:val="6"/>
        </w:numPr>
        <w:spacing w:before="100" w:beforeAutospacing="1" w:after="100" w:afterAutospacing="1"/>
        <w:rPr>
          <w:rFonts w:ascii="ZapfDingbats" w:eastAsia="Times New Roman" w:hAnsi="ZapfDingbats" w:cs="Times New Roman"/>
          <w:color w:val="00FF00"/>
          <w:position w:val="2"/>
          <w:sz w:val="8"/>
          <w:szCs w:val="8"/>
        </w:rPr>
      </w:pPr>
      <w:r w:rsidRPr="00653E2F">
        <w:rPr>
          <w:rFonts w:ascii="ACaslonPro" w:eastAsia="Times New Roman" w:hAnsi="ACaslonPro" w:cs="Times New Roman"/>
          <w:color w:val="00FF00"/>
          <w:position w:val="2"/>
          <w:sz w:val="16"/>
          <w:szCs w:val="16"/>
        </w:rPr>
        <w:t xml:space="preserve">Discuss the legal implications of the Health Insurance Portability and Accountability Act (HIPAA). </w:t>
      </w:r>
    </w:p>
    <w:p w14:paraId="1EA93B9E"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FF00"/>
          <w:position w:val="2"/>
          <w:sz w:val="8"/>
          <w:szCs w:val="8"/>
        </w:rPr>
      </w:pPr>
      <w:r w:rsidRPr="00653E2F">
        <w:rPr>
          <w:rFonts w:ascii="FuturaStd" w:eastAsia="Times New Roman" w:hAnsi="FuturaStd" w:cs="Times New Roman"/>
          <w:b/>
          <w:bCs/>
          <w:color w:val="FF6619"/>
          <w:position w:val="2"/>
          <w:sz w:val="16"/>
          <w:szCs w:val="16"/>
        </w:rPr>
        <w:t xml:space="preserve">OUTLINE </w:t>
      </w:r>
    </w:p>
    <w:p w14:paraId="5D60D27F"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FF00"/>
          <w:position w:val="2"/>
          <w:sz w:val="8"/>
          <w:szCs w:val="8"/>
        </w:rPr>
      </w:pPr>
      <w:r w:rsidRPr="00653E2F">
        <w:rPr>
          <w:rFonts w:ascii="FuturaStd" w:eastAsia="Times New Roman" w:hAnsi="FuturaStd" w:cs="Times New Roman"/>
          <w:b/>
          <w:bCs/>
          <w:color w:val="7FCC00"/>
          <w:position w:val="2"/>
          <w:sz w:val="16"/>
          <w:szCs w:val="16"/>
        </w:rPr>
        <w:t xml:space="preserve">General Principles </w:t>
      </w:r>
    </w:p>
    <w:p w14:paraId="66783185"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FF00"/>
          <w:position w:val="2"/>
          <w:sz w:val="8"/>
          <w:szCs w:val="8"/>
        </w:rPr>
      </w:pPr>
      <w:r w:rsidRPr="00653E2F">
        <w:rPr>
          <w:rFonts w:ascii="FuturaStd" w:eastAsia="Times New Roman" w:hAnsi="FuturaStd" w:cs="Times New Roman"/>
          <w:color w:val="00FF00"/>
          <w:position w:val="2"/>
          <w:sz w:val="16"/>
          <w:szCs w:val="16"/>
        </w:rPr>
        <w:t xml:space="preserve">Meaning of Law Sources of Law </w:t>
      </w:r>
    </w:p>
    <w:p w14:paraId="2C109DEC"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FF00"/>
          <w:position w:val="2"/>
          <w:sz w:val="8"/>
          <w:szCs w:val="8"/>
        </w:rPr>
      </w:pPr>
      <w:r w:rsidRPr="00653E2F">
        <w:rPr>
          <w:rFonts w:ascii="FuturaStd" w:eastAsia="Times New Roman" w:hAnsi="FuturaStd" w:cs="Times New Roman"/>
          <w:i/>
          <w:iCs/>
          <w:color w:val="00FF00"/>
          <w:position w:val="2"/>
          <w:sz w:val="16"/>
          <w:szCs w:val="16"/>
        </w:rPr>
        <w:t xml:space="preserve">The Constitution Statutes Administrative Law </w:t>
      </w:r>
    </w:p>
    <w:p w14:paraId="14874213"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FF00"/>
          <w:position w:val="2"/>
          <w:sz w:val="8"/>
          <w:szCs w:val="8"/>
        </w:rPr>
      </w:pPr>
      <w:r w:rsidRPr="00653E2F">
        <w:rPr>
          <w:rFonts w:ascii="FuturaStd" w:eastAsia="Times New Roman" w:hAnsi="FuturaStd" w:cs="Times New Roman"/>
          <w:b/>
          <w:bCs/>
          <w:color w:val="7FCC00"/>
          <w:position w:val="2"/>
          <w:sz w:val="16"/>
          <w:szCs w:val="16"/>
        </w:rPr>
        <w:t xml:space="preserve">Types of Laws </w:t>
      </w:r>
    </w:p>
    <w:p w14:paraId="23FE967D"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FF00"/>
          <w:position w:val="2"/>
          <w:sz w:val="8"/>
          <w:szCs w:val="8"/>
        </w:rPr>
      </w:pPr>
      <w:r w:rsidRPr="00653E2F">
        <w:rPr>
          <w:rFonts w:ascii="FuturaStd" w:eastAsia="Times New Roman" w:hAnsi="FuturaStd" w:cs="Times New Roman"/>
          <w:color w:val="00FF00"/>
          <w:position w:val="2"/>
          <w:sz w:val="16"/>
          <w:szCs w:val="16"/>
        </w:rPr>
        <w:t xml:space="preserve">Criminal Law Civil Law </w:t>
      </w:r>
    </w:p>
    <w:p w14:paraId="78E00D1A"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FF00"/>
          <w:position w:val="2"/>
          <w:sz w:val="8"/>
          <w:szCs w:val="8"/>
        </w:rPr>
      </w:pPr>
      <w:r w:rsidRPr="00653E2F">
        <w:rPr>
          <w:rFonts w:ascii="FuturaStd" w:eastAsia="Times New Roman" w:hAnsi="FuturaStd" w:cs="Times New Roman"/>
          <w:i/>
          <w:iCs/>
          <w:color w:val="00FF00"/>
          <w:position w:val="2"/>
          <w:sz w:val="16"/>
          <w:szCs w:val="16"/>
        </w:rPr>
        <w:lastRenderedPageBreak/>
        <w:t>Tort</w:t>
      </w:r>
      <w:r w:rsidRPr="00653E2F">
        <w:rPr>
          <w:rFonts w:ascii="FuturaStd" w:eastAsia="Times New Roman" w:hAnsi="FuturaStd" w:cs="Times New Roman"/>
          <w:i/>
          <w:iCs/>
          <w:color w:val="00FF00"/>
          <w:position w:val="2"/>
          <w:sz w:val="16"/>
          <w:szCs w:val="16"/>
        </w:rPr>
        <w:br/>
        <w:t xml:space="preserve">Quasi-Intentional Tort Negligence Malpractice </w:t>
      </w:r>
    </w:p>
    <w:p w14:paraId="46639A87"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FF00"/>
          <w:position w:val="2"/>
          <w:sz w:val="8"/>
          <w:szCs w:val="8"/>
        </w:rPr>
      </w:pPr>
      <w:r w:rsidRPr="00653E2F">
        <w:rPr>
          <w:rFonts w:ascii="FuturaStd" w:eastAsia="Times New Roman" w:hAnsi="FuturaStd" w:cs="Times New Roman"/>
          <w:b/>
          <w:bCs/>
          <w:color w:val="7FCC00"/>
          <w:position w:val="2"/>
          <w:sz w:val="16"/>
          <w:szCs w:val="16"/>
        </w:rPr>
        <w:t xml:space="preserve">Other Laws Relevant to Nursing Practice </w:t>
      </w:r>
    </w:p>
    <w:p w14:paraId="762BFF16"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FF00"/>
          <w:position w:val="2"/>
          <w:sz w:val="8"/>
          <w:szCs w:val="8"/>
        </w:rPr>
      </w:pPr>
      <w:r w:rsidRPr="00653E2F">
        <w:rPr>
          <w:rFonts w:ascii="FuturaStd" w:eastAsia="Times New Roman" w:hAnsi="FuturaStd" w:cs="Times New Roman"/>
          <w:color w:val="00FF00"/>
          <w:position w:val="2"/>
          <w:sz w:val="16"/>
          <w:szCs w:val="16"/>
        </w:rPr>
        <w:t xml:space="preserve">Good Samaritan Laws Confidentiality </w:t>
      </w:r>
    </w:p>
    <w:p w14:paraId="10E5EB3A"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FF00"/>
          <w:position w:val="2"/>
          <w:sz w:val="8"/>
          <w:szCs w:val="8"/>
        </w:rPr>
      </w:pPr>
      <w:r w:rsidRPr="00653E2F">
        <w:rPr>
          <w:rFonts w:ascii="ACaslonPro" w:eastAsia="Times New Roman" w:hAnsi="ACaslonPro" w:cs="Times New Roman"/>
          <w:i/>
          <w:iCs/>
          <w:color w:val="00FF00"/>
          <w:position w:val="2"/>
          <w:sz w:val="20"/>
          <w:szCs w:val="20"/>
        </w:rPr>
        <w:t xml:space="preserve">The courtroom seemed cold and sterile. Scanning her surroundings with nervous eyes, Lialla decided she knew how Alice must have felt when the Queen of Hearts screamed for her head. The image of the White Rabbit running through the woods, looking at his watch, yelling, “I’m late! I’m late!” flashed before her eyes. For a few moments, she indulged herself in thoughts of being able to turn back the clock and rewrite the past. The future certainly </w:t>
      </w:r>
    </w:p>
    <w:p w14:paraId="5F7DC9D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Social Networking</w:t>
      </w:r>
      <w:r w:rsidRPr="00653E2F">
        <w:rPr>
          <w:rFonts w:ascii="FuturaStd" w:eastAsia="Times New Roman" w:hAnsi="FuturaStd" w:cs="Times New Roman"/>
          <w:sz w:val="16"/>
          <w:szCs w:val="16"/>
        </w:rPr>
        <w:br/>
        <w:t>Slander and Libel</w:t>
      </w:r>
      <w:r w:rsidRPr="00653E2F">
        <w:rPr>
          <w:rFonts w:ascii="FuturaStd" w:eastAsia="Times New Roman" w:hAnsi="FuturaStd" w:cs="Times New Roman"/>
          <w:sz w:val="16"/>
          <w:szCs w:val="16"/>
        </w:rPr>
        <w:br/>
        <w:t>False Imprisonment</w:t>
      </w:r>
      <w:r w:rsidRPr="00653E2F">
        <w:rPr>
          <w:rFonts w:ascii="FuturaStd" w:eastAsia="Times New Roman" w:hAnsi="FuturaStd" w:cs="Times New Roman"/>
          <w:sz w:val="16"/>
          <w:szCs w:val="16"/>
        </w:rPr>
        <w:br/>
        <w:t>Assault and Battery</w:t>
      </w:r>
      <w:r w:rsidRPr="00653E2F">
        <w:rPr>
          <w:rFonts w:ascii="FuturaStd" w:eastAsia="Times New Roman" w:hAnsi="FuturaStd" w:cs="Times New Roman"/>
          <w:sz w:val="16"/>
          <w:szCs w:val="16"/>
        </w:rPr>
        <w:br/>
      </w:r>
      <w:r w:rsidRPr="00653E2F">
        <w:rPr>
          <w:rFonts w:ascii="FuturaStd" w:eastAsia="Times New Roman" w:hAnsi="FuturaStd" w:cs="Times New Roman"/>
          <w:b/>
          <w:bCs/>
          <w:color w:val="7FCC00"/>
          <w:sz w:val="16"/>
          <w:szCs w:val="16"/>
        </w:rPr>
        <w:t>Standards of Practice</w:t>
      </w:r>
      <w:r w:rsidRPr="00653E2F">
        <w:rPr>
          <w:rFonts w:ascii="FuturaStd" w:eastAsia="Times New Roman" w:hAnsi="FuturaStd" w:cs="Times New Roman"/>
          <w:b/>
          <w:bCs/>
          <w:color w:val="7FCC00"/>
          <w:sz w:val="16"/>
          <w:szCs w:val="16"/>
        </w:rPr>
        <w:br/>
      </w:r>
      <w:r w:rsidRPr="00653E2F">
        <w:rPr>
          <w:rFonts w:ascii="FuturaStd" w:eastAsia="Times New Roman" w:hAnsi="FuturaStd" w:cs="Times New Roman"/>
          <w:sz w:val="16"/>
          <w:szCs w:val="16"/>
        </w:rPr>
        <w:t xml:space="preserve">Use of Standards in Nursing Negligence Malpractice Actions </w:t>
      </w:r>
    </w:p>
    <w:p w14:paraId="77B518A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Patient’s Bill of Rights Informed Consent </w:t>
      </w:r>
      <w:r w:rsidRPr="00653E2F">
        <w:rPr>
          <w:rFonts w:ascii="FuturaStd" w:eastAsia="Times New Roman" w:hAnsi="FuturaStd" w:cs="Times New Roman"/>
          <w:b/>
          <w:bCs/>
          <w:color w:val="7FCC00"/>
          <w:sz w:val="16"/>
          <w:szCs w:val="16"/>
        </w:rPr>
        <w:t xml:space="preserve">Staying Out of Court </w:t>
      </w:r>
      <w:r w:rsidRPr="00653E2F">
        <w:rPr>
          <w:rFonts w:ascii="FuturaStd" w:eastAsia="Times New Roman" w:hAnsi="FuturaStd" w:cs="Times New Roman"/>
          <w:sz w:val="16"/>
          <w:szCs w:val="16"/>
        </w:rPr>
        <w:t xml:space="preserve">Prevention </w:t>
      </w:r>
    </w:p>
    <w:p w14:paraId="7980309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sz w:val="16"/>
          <w:szCs w:val="16"/>
        </w:rPr>
        <w:t xml:space="preserve">Appropriate Documentation </w:t>
      </w:r>
    </w:p>
    <w:p w14:paraId="45D5BE7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Common Actions Leading to Malpractice Suits If a Problem Arises</w:t>
      </w:r>
      <w:r w:rsidRPr="00653E2F">
        <w:rPr>
          <w:rFonts w:ascii="FuturaStd" w:eastAsia="Times New Roman" w:hAnsi="FuturaStd" w:cs="Times New Roman"/>
          <w:sz w:val="16"/>
          <w:szCs w:val="16"/>
        </w:rPr>
        <w:br/>
      </w:r>
      <w:r w:rsidRPr="00653E2F">
        <w:rPr>
          <w:rFonts w:ascii="FuturaStd" w:eastAsia="Times New Roman" w:hAnsi="FuturaStd" w:cs="Times New Roman"/>
          <w:b/>
          <w:bCs/>
          <w:color w:val="7FCC00"/>
          <w:sz w:val="16"/>
          <w:szCs w:val="16"/>
        </w:rPr>
        <w:t>Professional Liability Insurance</w:t>
      </w:r>
      <w:r w:rsidRPr="00653E2F">
        <w:rPr>
          <w:rFonts w:ascii="FuturaStd" w:eastAsia="Times New Roman" w:hAnsi="FuturaStd" w:cs="Times New Roman"/>
          <w:b/>
          <w:bCs/>
          <w:color w:val="7FCC00"/>
          <w:sz w:val="16"/>
          <w:szCs w:val="16"/>
        </w:rPr>
        <w:br/>
        <w:t xml:space="preserve">End-of-Life Decisions and the Law </w:t>
      </w:r>
    </w:p>
    <w:p w14:paraId="33F7D2F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Do Not Resuscitate Orders Advance Directives </w:t>
      </w:r>
    </w:p>
    <w:p w14:paraId="45640B8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sz w:val="16"/>
          <w:szCs w:val="16"/>
        </w:rPr>
        <w:t xml:space="preserve">Living Will and Durable Power of Attorney for Health Care (Health-Care Surrogate) </w:t>
      </w:r>
    </w:p>
    <w:p w14:paraId="2A1AA7F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Nursing Implications </w:t>
      </w:r>
    </w:p>
    <w:p w14:paraId="5BAB510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7FCC00"/>
          <w:sz w:val="16"/>
          <w:szCs w:val="16"/>
        </w:rPr>
        <w:t>Legal Implications of Mandatory Overtime Licensure</w:t>
      </w:r>
      <w:r w:rsidRPr="00653E2F">
        <w:rPr>
          <w:rFonts w:ascii="FuturaStd" w:eastAsia="Times New Roman" w:hAnsi="FuturaStd" w:cs="Times New Roman"/>
          <w:b/>
          <w:bCs/>
          <w:color w:val="7FCC00"/>
          <w:sz w:val="16"/>
          <w:szCs w:val="16"/>
        </w:rPr>
        <w:br/>
      </w:r>
      <w:r w:rsidRPr="00653E2F">
        <w:rPr>
          <w:rFonts w:ascii="FuturaStd" w:eastAsia="Times New Roman" w:hAnsi="FuturaStd" w:cs="Times New Roman"/>
          <w:sz w:val="16"/>
          <w:szCs w:val="16"/>
        </w:rPr>
        <w:t>Qualifications for Licensure</w:t>
      </w:r>
      <w:r w:rsidRPr="00653E2F">
        <w:rPr>
          <w:rFonts w:ascii="FuturaStd" w:eastAsia="Times New Roman" w:hAnsi="FuturaStd" w:cs="Times New Roman"/>
          <w:sz w:val="16"/>
          <w:szCs w:val="16"/>
        </w:rPr>
        <w:br/>
        <w:t xml:space="preserve">Licensure by Examination </w:t>
      </w:r>
    </w:p>
    <w:p w14:paraId="564F60C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sz w:val="16"/>
          <w:szCs w:val="16"/>
        </w:rPr>
        <w:t>NCLEX-RN</w:t>
      </w:r>
      <w:r w:rsidRPr="00653E2F">
        <w:rPr>
          <w:rFonts w:ascii="FuturaStd" w:eastAsia="Times New Roman" w:hAnsi="FuturaStd" w:cs="Times New Roman"/>
          <w:i/>
          <w:iCs/>
          <w:sz w:val="16"/>
          <w:szCs w:val="16"/>
        </w:rPr>
        <w:br/>
        <w:t xml:space="preserve">Preparing for the NCLEX-RN Licensure Through Endorsement Multistate Licensure </w:t>
      </w:r>
    </w:p>
    <w:p w14:paraId="3E400B0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Disciplinary Action </w:t>
      </w:r>
    </w:p>
    <w:p w14:paraId="39F404D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7FCC00"/>
          <w:sz w:val="16"/>
          <w:szCs w:val="16"/>
        </w:rPr>
        <w:t xml:space="preserve">Conclusion </w:t>
      </w:r>
    </w:p>
    <w:p w14:paraId="616AFBF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i/>
          <w:iCs/>
          <w:sz w:val="20"/>
          <w:szCs w:val="20"/>
        </w:rPr>
        <w:t xml:space="preserve">looked grim at that moment. The calling of her name broke her reverie. Mr. Marsh, the attorney for the plaintiff, wanted her undivided attention regarding the auspicious day when she committed a fatal medication error. That day, the client died following a cardiac arrest because Lialla failed to check the appropriate dosage and route for the medi- cation. Although she thought she should question the order, Lialla “followed the health-care provider’s </w:t>
      </w:r>
    </w:p>
    <w:p w14:paraId="6050BAE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color w:val="020202"/>
          <w:sz w:val="20"/>
          <w:szCs w:val="20"/>
        </w:rPr>
        <w:t xml:space="preserve">27 </w:t>
      </w:r>
    </w:p>
    <w:p w14:paraId="141EDBAE" w14:textId="532F44E9"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lastRenderedPageBreak/>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"/var/folders/xx/b74wr1s110v7wd4fcc2vzqx80000gn/T/com.microsoft.Word/WebArchiveCopyPasteTempFiles/page40image61281312"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69810769" wp14:editId="34704C63">
            <wp:extent cx="3114675" cy="887095"/>
            <wp:effectExtent l="0" t="0" r="0" b="1905"/>
            <wp:docPr id="37" name="Picture 37" descr="page40image6128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age40image612813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14675" cy="887095"/>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7EDE58A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0"/>
          <w:szCs w:val="20"/>
        </w:rPr>
        <w:t xml:space="preserve">28 </w:t>
      </w:r>
      <w:r w:rsidRPr="00653E2F">
        <w:rPr>
          <w:rFonts w:ascii="FuturaStd" w:eastAsia="Times New Roman" w:hAnsi="FuturaStd" w:cs="Times New Roman"/>
          <w:sz w:val="16"/>
          <w:szCs w:val="16"/>
        </w:rPr>
        <w:t xml:space="preserve">unit </w:t>
      </w:r>
      <w:r w:rsidRPr="00653E2F">
        <w:rPr>
          <w:rFonts w:ascii="FuturaStd" w:eastAsia="Times New Roman" w:hAnsi="FuturaStd" w:cs="Times New Roman"/>
          <w:sz w:val="20"/>
          <w:szCs w:val="20"/>
        </w:rPr>
        <w:t xml:space="preserve">1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Professional Considerations </w:t>
      </w:r>
    </w:p>
    <w:p w14:paraId="32FD0D7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i/>
          <w:iCs/>
          <w:sz w:val="20"/>
          <w:szCs w:val="20"/>
        </w:rPr>
        <w:t xml:space="preserve">order” and administered 40 mEq of potassium chlo- ride by intravenous push. Her 15 years of nursing experience meant little to the court. Because she had not followed hospital protocol and had violated an important standard of practice, Lialla stood alone. She was being sued for malpractice with the possi- bility of criminal charges should she be found guilty of contributing to the client’s death. </w:t>
      </w:r>
    </w:p>
    <w:p w14:paraId="30F94FD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As client advocates, nurses have a responsibility to deliver safe care to their clients. This expectation requires that nurses have professional knowledge at their expected level of practice and be proficient in technological skills. A working knowledge of the legal system, client rights, and behaviors that may result in lawsuits helps nurses to act as client advo- cates. As long as nurses practice according to estab- lished standards of care, they may be able to avoid the kind of day in court that Lialla experienced. </w:t>
      </w:r>
    </w:p>
    <w:p w14:paraId="6778AFE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A30A00"/>
          <w:sz w:val="26"/>
          <w:szCs w:val="26"/>
        </w:rPr>
        <w:t xml:space="preserve">General Principles </w:t>
      </w:r>
    </w:p>
    <w:p w14:paraId="1C008DE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Meaning of Law </w:t>
      </w:r>
    </w:p>
    <w:p w14:paraId="5C519D9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 word </w:t>
      </w:r>
      <w:r w:rsidRPr="00653E2F">
        <w:rPr>
          <w:rFonts w:ascii="ACaslonPro" w:eastAsia="Times New Roman" w:hAnsi="ACaslonPro" w:cs="Times New Roman"/>
          <w:i/>
          <w:iCs/>
          <w:sz w:val="20"/>
          <w:szCs w:val="20"/>
        </w:rPr>
        <w:t xml:space="preserve">law </w:t>
      </w:r>
      <w:r w:rsidRPr="00653E2F">
        <w:rPr>
          <w:rFonts w:ascii="ACaslonPro" w:eastAsia="Times New Roman" w:hAnsi="ACaslonPro" w:cs="Times New Roman"/>
          <w:sz w:val="20"/>
          <w:szCs w:val="20"/>
        </w:rPr>
        <w:t xml:space="preserve">has several meanings. For the pur- poses of this chapter, </w:t>
      </w:r>
      <w:r w:rsidRPr="00653E2F">
        <w:rPr>
          <w:rFonts w:ascii="ACaslonPro" w:eastAsia="Times New Roman" w:hAnsi="ACaslonPro" w:cs="Times New Roman"/>
          <w:i/>
          <w:iCs/>
          <w:sz w:val="20"/>
          <w:szCs w:val="20"/>
        </w:rPr>
        <w:t xml:space="preserve">law </w:t>
      </w:r>
      <w:r w:rsidRPr="00653E2F">
        <w:rPr>
          <w:rFonts w:ascii="ACaslonPro" w:eastAsia="Times New Roman" w:hAnsi="ACaslonPro" w:cs="Times New Roman"/>
          <w:sz w:val="20"/>
          <w:szCs w:val="20"/>
        </w:rPr>
        <w:t xml:space="preserve">refers to any system of regulations that govern the conduct of individuals within a community and/or society, in response to the need for regularity, consistency, and justice (Hill &amp; Hill, 2009). In other words, </w:t>
      </w:r>
      <w:r w:rsidRPr="00653E2F">
        <w:rPr>
          <w:rFonts w:ascii="ACaslonPro" w:eastAsia="Times New Roman" w:hAnsi="ACaslonPro" w:cs="Times New Roman"/>
          <w:i/>
          <w:iCs/>
          <w:sz w:val="20"/>
          <w:szCs w:val="20"/>
        </w:rPr>
        <w:t xml:space="preserve">law </w:t>
      </w:r>
      <w:r w:rsidRPr="00653E2F">
        <w:rPr>
          <w:rFonts w:ascii="ACaslonPro" w:eastAsia="Times New Roman" w:hAnsi="ACaslonPro" w:cs="Times New Roman"/>
          <w:sz w:val="20"/>
          <w:szCs w:val="20"/>
        </w:rPr>
        <w:t xml:space="preserve">means those rules that prescribe and control social conduct in a formal and legally binding manner. Laws are created in one of three ways: </w:t>
      </w:r>
    </w:p>
    <w:p w14:paraId="42181B5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000FF"/>
          <w:sz w:val="20"/>
          <w:szCs w:val="20"/>
        </w:rPr>
        <w:t xml:space="preserve">1. </w:t>
      </w:r>
      <w:r w:rsidRPr="00653E2F">
        <w:rPr>
          <w:rFonts w:ascii="ACaslonPro" w:eastAsia="Times New Roman" w:hAnsi="ACaslonPro" w:cs="Times New Roman"/>
          <w:i/>
          <w:iCs/>
          <w:sz w:val="20"/>
          <w:szCs w:val="20"/>
        </w:rPr>
        <w:t xml:space="preserve">Statutory laws </w:t>
      </w:r>
      <w:r w:rsidRPr="00653E2F">
        <w:rPr>
          <w:rFonts w:ascii="ACaslonPro" w:eastAsia="Times New Roman" w:hAnsi="ACaslonPro" w:cs="Times New Roman"/>
          <w:sz w:val="20"/>
          <w:szCs w:val="20"/>
        </w:rPr>
        <w:t xml:space="preserve">are created by various legislative bodies, such as state legislatures or Congress. Some examples of federal statutes include the Patient Self-Determination Act of 1990 and the Americans With Disabilities Act. State statutes include the state nurse practice acts, the state boards of nursing, and the Good Samaritan Act. Laws that govern nursing practice are statutory laws. </w:t>
      </w:r>
    </w:p>
    <w:p w14:paraId="31DE0F9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000FF"/>
          <w:sz w:val="20"/>
          <w:szCs w:val="20"/>
        </w:rPr>
        <w:t xml:space="preserve">2. </w:t>
      </w:r>
      <w:r w:rsidRPr="00653E2F">
        <w:rPr>
          <w:rFonts w:ascii="ACaslonPro" w:eastAsia="Times New Roman" w:hAnsi="ACaslonPro" w:cs="Times New Roman"/>
          <w:i/>
          <w:iCs/>
          <w:sz w:val="20"/>
          <w:szCs w:val="20"/>
        </w:rPr>
        <w:t xml:space="preserve">Common law </w:t>
      </w:r>
      <w:r w:rsidRPr="00653E2F">
        <w:rPr>
          <w:rFonts w:ascii="ACaslonPro" w:eastAsia="Times New Roman" w:hAnsi="ACaslonPro" w:cs="Times New Roman"/>
          <w:sz w:val="20"/>
          <w:szCs w:val="20"/>
        </w:rPr>
        <w:t xml:space="preserve">is the traditional unwritten law of England, based on custom and usage, which began to develop over a thousand years before the founding of the United States (Hill &amp; Hill, 2009). It develops within the court system as judicial decisions are made in various cases and precedents for future cases are set. In this way, a decision made in one case can affect decisions made in later cases of a similar nature. Many </w:t>
      </w:r>
    </w:p>
    <w:p w14:paraId="2F08905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times a judge in a subsequent case will follow the reasoning of a judge in a previous case. Therefore, one case sets a precedent for another. </w:t>
      </w:r>
    </w:p>
    <w:p w14:paraId="7695F87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000FF"/>
          <w:sz w:val="20"/>
          <w:szCs w:val="20"/>
        </w:rPr>
        <w:t xml:space="preserve">3. </w:t>
      </w:r>
      <w:r w:rsidRPr="00653E2F">
        <w:rPr>
          <w:rFonts w:ascii="ACaslonPro" w:eastAsia="Times New Roman" w:hAnsi="ACaslonPro" w:cs="Times New Roman"/>
          <w:i/>
          <w:iCs/>
          <w:sz w:val="20"/>
          <w:szCs w:val="20"/>
        </w:rPr>
        <w:t xml:space="preserve">Administrative law </w:t>
      </w:r>
      <w:r w:rsidRPr="00653E2F">
        <w:rPr>
          <w:rFonts w:ascii="ACaslonPro" w:eastAsia="Times New Roman" w:hAnsi="ACaslonPro" w:cs="Times New Roman"/>
          <w:sz w:val="20"/>
          <w:szCs w:val="20"/>
        </w:rPr>
        <w:t xml:space="preserve">includes the procedures created by administrative agencies (governmental bodies of the city, county, state, or federal government) involving rules, regulations, applications, licenses, permits, available information, hearings, appeals, and decision making (Hill &amp; Hill, 2009). These laws are established through the authority given to government agencies, such as state boards of nursing, by a legislative body. These governing boards have the duty to meet the intent of laws or statutes. </w:t>
      </w:r>
    </w:p>
    <w:p w14:paraId="726A33D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Sources of Law </w:t>
      </w:r>
    </w:p>
    <w:p w14:paraId="6F54938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2"/>
          <w:szCs w:val="22"/>
        </w:rPr>
        <w:t xml:space="preserve">The Constitution </w:t>
      </w:r>
    </w:p>
    <w:p w14:paraId="1AAB9D3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lastRenderedPageBreak/>
        <w:t xml:space="preserve">The U.S. Constitution is the foundation of Ameri- can law. The Bill of Rights, comprising the first 10 amendments to the Constitution, is the basis for protection of individual rights. These laws define and limit the power of the government and protect citizens’ freedom of speech, assembly, religion, and the press, and freedom from unwarranted intrusion by government into personal choices. State consti- tutions can expand individual rights but cannot deprive people of rights guaranteed by the U.S. Constitution. </w:t>
      </w:r>
    </w:p>
    <w:p w14:paraId="44BA5F3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Constitutional law evolves. As individuals or groups bring suit to challenge interpretations of the Constitution, decisions are made concerning application of the law to that particular event. An example is the protection of freedom of speech. Are obscenities protected? Can one person threaten or criticize another person? The freedom to criticize is protected; threats are not protected. The defini- tion of what constitutes obscenity is often debated and has not been fully clarified by the courts. </w:t>
      </w:r>
    </w:p>
    <w:p w14:paraId="3CE3382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2"/>
          <w:szCs w:val="22"/>
        </w:rPr>
        <w:t xml:space="preserve">Statutes </w:t>
      </w:r>
    </w:p>
    <w:p w14:paraId="73ED864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Statutes are written laws created by a government or accepted governing body. Localities, state legis- latures, and the U.S. Congress create statutes. Local statutes are usually referred to as ordinances. An example of a local ordinance might be a require- ment that all garbage dumpsters must be covered at all times. </w:t>
      </w:r>
    </w:p>
    <w:p w14:paraId="7A4563C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At the federal level, conference committees comprising representatives of both houses of Con- </w:t>
      </w:r>
    </w:p>
    <w:p w14:paraId="5310B6A8" w14:textId="485F58EF"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"/var/folders/xx/b74wr1s110v7wd4fcc2vzqx80000gn/T/com.microsoft.Word/WebArchiveCopyPasteTempFiles/page41image38703616"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16064301" wp14:editId="3C594957">
            <wp:extent cx="1068070" cy="2743200"/>
            <wp:effectExtent l="0" t="0" r="0" b="0"/>
            <wp:docPr id="36" name="Picture 36" descr="page41image38703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ge41image387036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807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433C394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gress negotiate the resolution of any differences on wording of a bill before it is voted upon by both Houses of Congress and sent to the president to be signed into law. If the bill does not meet with the approval of the executive branch of government, the president can veto it. If that occurs, the legislative branch must have enough votes to override the veto or the bill will not become law. </w:t>
      </w:r>
    </w:p>
    <w:p w14:paraId="786D2D8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Nurses have an opportunity to influence the development of statutory law both as citizens and as health-care providers. Writing to or meeting with state legislators or members of Congress is a way to demonstrate interest in such issues and their outcomes in terms of the laws passed. Passage of a new law is often a long process that includes some compromise of all interested individuals. </w:t>
      </w:r>
    </w:p>
    <w:p w14:paraId="0F77A53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2"/>
          <w:szCs w:val="22"/>
        </w:rPr>
        <w:t xml:space="preserve">Administrative Law </w:t>
      </w:r>
    </w:p>
    <w:p w14:paraId="7C0A632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lastRenderedPageBreak/>
        <w:t xml:space="preserve">The Department of Health and Human Services, the Department of Labor, and the Department of Education are the federal agencies that administer health-care–related laws. At the state level are departments of health and mental health and licensing boards. </w:t>
      </w:r>
    </w:p>
    <w:p w14:paraId="358BD5FF"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Administrative agencies are staffed with profes- sionals who develop the specific rules and regula- tions that direct the implementation of statutory law. These rules must be reasonable and consistent with existing statutory law and the intent of the legislature. Usually, the rules go into effect only after review and comment by affected persons or groups. For example, specific statutory laws give state nursing boards the authority to issue and revoke licenses, which means that each board of nursing has the responsibility to oversee the profes- sional nurse’s competence. </w:t>
      </w:r>
    </w:p>
    <w:p w14:paraId="509D5BE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A30A00"/>
          <w:sz w:val="26"/>
          <w:szCs w:val="26"/>
        </w:rPr>
        <w:t xml:space="preserve">Types of Laws </w:t>
      </w:r>
    </w:p>
    <w:p w14:paraId="3FDB4C3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Another way to look at the legal system is to divide laws into two categories: criminal law and civil law. </w:t>
      </w:r>
    </w:p>
    <w:p w14:paraId="5B08972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000FF"/>
          <w:sz w:val="20"/>
          <w:szCs w:val="20"/>
        </w:rPr>
        <w:t xml:space="preserve">1. </w:t>
      </w:r>
      <w:r w:rsidRPr="00653E2F">
        <w:rPr>
          <w:rFonts w:ascii="ACaslonPro" w:eastAsia="Times New Roman" w:hAnsi="ACaslonPro" w:cs="Times New Roman"/>
          <w:i/>
          <w:iCs/>
          <w:sz w:val="20"/>
          <w:szCs w:val="20"/>
        </w:rPr>
        <w:t xml:space="preserve">Felony: </w:t>
      </w:r>
      <w:r w:rsidRPr="00653E2F">
        <w:rPr>
          <w:rFonts w:ascii="ACaslonPro" w:eastAsia="Times New Roman" w:hAnsi="ACaslonPro" w:cs="Times New Roman"/>
          <w:sz w:val="20"/>
          <w:szCs w:val="20"/>
        </w:rPr>
        <w:t xml:space="preserve">the most serious category, including such acts as homicide, grand larceny, and nurse practice act violation </w:t>
      </w:r>
    </w:p>
    <w:p w14:paraId="739B889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000FF"/>
          <w:sz w:val="20"/>
          <w:szCs w:val="20"/>
        </w:rPr>
        <w:t xml:space="preserve">2. </w:t>
      </w:r>
      <w:r w:rsidRPr="00653E2F">
        <w:rPr>
          <w:rFonts w:ascii="ACaslonPro" w:eastAsia="Times New Roman" w:hAnsi="ACaslonPro" w:cs="Times New Roman"/>
          <w:i/>
          <w:iCs/>
          <w:sz w:val="20"/>
          <w:szCs w:val="20"/>
        </w:rPr>
        <w:t xml:space="preserve">Misdemeanor: </w:t>
      </w:r>
      <w:r w:rsidRPr="00653E2F">
        <w:rPr>
          <w:rFonts w:ascii="ACaslonPro" w:eastAsia="Times New Roman" w:hAnsi="ACaslonPro" w:cs="Times New Roman"/>
          <w:sz w:val="20"/>
          <w:szCs w:val="20"/>
        </w:rPr>
        <w:t xml:space="preserve">includes lesser offenses such as traffic violations or shoplifting of a small dollar amount </w:t>
      </w:r>
    </w:p>
    <w:p w14:paraId="30D3BF0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000FF"/>
          <w:sz w:val="20"/>
          <w:szCs w:val="20"/>
        </w:rPr>
        <w:t xml:space="preserve">3. </w:t>
      </w:r>
      <w:r w:rsidRPr="00653E2F">
        <w:rPr>
          <w:rFonts w:ascii="ACaslonPro" w:eastAsia="Times New Roman" w:hAnsi="ACaslonPro" w:cs="Times New Roman"/>
          <w:i/>
          <w:iCs/>
          <w:sz w:val="20"/>
          <w:szCs w:val="20"/>
        </w:rPr>
        <w:t xml:space="preserve">Juvenile: </w:t>
      </w:r>
      <w:r w:rsidRPr="00653E2F">
        <w:rPr>
          <w:rFonts w:ascii="ACaslonPro" w:eastAsia="Times New Roman" w:hAnsi="ACaslonPro" w:cs="Times New Roman"/>
          <w:sz w:val="20"/>
          <w:szCs w:val="20"/>
        </w:rPr>
        <w:t xml:space="preserve">crimes carried out by individuals younger than 18 years; specific age varies by state and crime </w:t>
      </w:r>
    </w:p>
    <w:p w14:paraId="465455F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There are occasions when a nurse breaks a law and is tried in criminal court. A nurse who obtains and/ or distributes controlled substances illegally, either for personal use or for the use of others, is violating the law. Falsification of records of controlled sub- stances is a criminal action. In some states, altering a patient record may lead to both civil and criminal action depending upon the treatment outcome. For example: </w:t>
      </w:r>
    </w:p>
    <w:p w14:paraId="2C72F08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i/>
          <w:iCs/>
          <w:sz w:val="20"/>
          <w:szCs w:val="20"/>
        </w:rPr>
        <w:t xml:space="preserve">In New Jersey State v. Winter V, Nurse needed to administer a blood transfusion. Because she was in a hurry, she did not check the paperwork properly and therefore did not follow the standard of practice established for blood administration. The client was transfused with incompatible blood, suffered from a transfusion reaction, and died. Nurse V then inten- tionally attempted to conceal her conduct. She falsi- fied the records, disposed of the blood and administration equipment, and failed to notify the patient’s health-care provider of the error. The jury found Nurse V guilty of simple manslaughter and sentenced her to 5 years in prison (Sanbar, 2007). </w:t>
      </w:r>
    </w:p>
    <w:p w14:paraId="5083027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Civil Law </w:t>
      </w:r>
    </w:p>
    <w:p w14:paraId="4D01DC9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Civil laws usually involve the violation of one per- son’s rights by another person. Areas of civil law that particularly affect nurses are tort law, contract law, antitrust law, employment discrimination, and labor laws. </w:t>
      </w:r>
    </w:p>
    <w:p w14:paraId="5B77FBB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2"/>
          <w:szCs w:val="22"/>
        </w:rPr>
        <w:t xml:space="preserve">Tort </w:t>
      </w:r>
    </w:p>
    <w:p w14:paraId="24FFC50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 remainder of this chapter focuses primarily on tort law. By definition, tort law consists of a body of rights, obligations, and remedies that is applied by courts in civil proceedings for the purpose of providing relief for persons who have suffered harm from the wrongful acts of others. Simply put, a tort is a legal or civil wrong carried out by one person against the person or property of another. The </w:t>
      </w:r>
    </w:p>
    <w:p w14:paraId="0335ECC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chapter </w:t>
      </w:r>
      <w:r w:rsidRPr="00653E2F">
        <w:rPr>
          <w:rFonts w:ascii="FuturaStd" w:eastAsia="Times New Roman" w:hAnsi="FuturaStd" w:cs="Times New Roman"/>
          <w:sz w:val="20"/>
          <w:szCs w:val="20"/>
        </w:rPr>
        <w:t xml:space="preserve">3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Nursing Practice and the Law </w:t>
      </w:r>
      <w:r w:rsidRPr="00653E2F">
        <w:rPr>
          <w:rFonts w:ascii="ACaslonPro" w:eastAsia="Times New Roman" w:hAnsi="ACaslonPro" w:cs="Times New Roman"/>
          <w:b/>
          <w:bCs/>
          <w:i/>
          <w:iCs/>
          <w:sz w:val="20"/>
          <w:szCs w:val="20"/>
        </w:rPr>
        <w:t xml:space="preserve">29 </w:t>
      </w:r>
    </w:p>
    <w:p w14:paraId="46C8EB87" w14:textId="6ACED708"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lastRenderedPageBreak/>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"/var/folders/xx/b74wr1s110v7wd4fcc2vzqx80000gn/T/com.microsoft.Word/WebArchiveCopyPasteTempFiles/page42image38737152"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09453A82" wp14:editId="25EF5CFB">
            <wp:extent cx="1068070" cy="2743200"/>
            <wp:effectExtent l="0" t="0" r="0" b="0"/>
            <wp:docPr id="35" name="Picture 35" descr="page42image38737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age42image387371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807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2500691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Criminal Law </w:t>
      </w:r>
    </w:p>
    <w:p w14:paraId="1BCCA06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Criminal laws were developed to protect society from actions that threaten its existence. Criminal acts, although directed toward individuals, are con- sidered offenses against the state. The perpetrator of the act is punished, and the victim receives no compensation for injury or damages. There are three categories of criminal law: </w:t>
      </w:r>
    </w:p>
    <w:p w14:paraId="14324B5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0"/>
          <w:szCs w:val="20"/>
        </w:rPr>
        <w:t xml:space="preserve">30 </w:t>
      </w:r>
      <w:r w:rsidRPr="00653E2F">
        <w:rPr>
          <w:rFonts w:ascii="FuturaStd" w:eastAsia="Times New Roman" w:hAnsi="FuturaStd" w:cs="Times New Roman"/>
          <w:sz w:val="16"/>
          <w:szCs w:val="16"/>
        </w:rPr>
        <w:t xml:space="preserve">unit </w:t>
      </w:r>
      <w:r w:rsidRPr="00653E2F">
        <w:rPr>
          <w:rFonts w:ascii="FuturaStd" w:eastAsia="Times New Roman" w:hAnsi="FuturaStd" w:cs="Times New Roman"/>
          <w:sz w:val="20"/>
          <w:szCs w:val="20"/>
        </w:rPr>
        <w:t xml:space="preserve">1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Professional Considerations </w:t>
      </w:r>
    </w:p>
    <w:p w14:paraId="6881EE3F"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person who sustains injury or suffers financial damage as the result of the conduct is known as the plaintiff, and the person who is responsible for causing the injury and incurs liability for the damage is known as the defendant (Loiacono, 2005). Tort law recognizes that individuals in their relationships with each other have a general duty not to harm each other. For example, as drivers of automobiles, everyone has a duty to drive safely so that others will not be harmed. A roofer has a duty to install a roof properly so that it will not collapse and injure individuals inside the structure. Nurses have a duty to deliver care in such a manner that the consumers of care are not harmed. These legal duties of care may be violated intentionally or unintentionally. </w:t>
      </w:r>
    </w:p>
    <w:p w14:paraId="5B9DE15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2"/>
          <w:szCs w:val="22"/>
        </w:rPr>
        <w:t xml:space="preserve">Quasi-Intentional Tort </w:t>
      </w:r>
    </w:p>
    <w:p w14:paraId="52D9D8F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A quasi-intentional tort has its basis in speech. These are voluntary acts that directly cause injury or anguish without meaning to harm or to cause distress. The elements of cause and desire are present, but the element of intent is missing. Quasi-intentional torts usually involve problems in communication that result in damage to a person’s reputation, violation of personal privacy, or infringement of an individual’s civil rights. These include defamation of character, invasion of pri- vacy, and breach of confidentiality (Aiken, 2004, p. 139). </w:t>
      </w:r>
    </w:p>
    <w:p w14:paraId="0A661F5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2"/>
          <w:szCs w:val="22"/>
        </w:rPr>
        <w:t xml:space="preserve">Negligence </w:t>
      </w:r>
    </w:p>
    <w:p w14:paraId="0ACD977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Negligence is the unintentional tort of acting or failing to act as an ordinary, reasonable, prudent person, resulting in harm to the person to whom the duty of care is owed (Black, 2009). The legal elements of negligence consist of duty, breach of duty, causation, and harm or injury (Gic, 2009). All four elements must be present in the determi- nation. For example, if a nurse administers the wrong medication to a client but the client is not injured, then the element of harm has not been met. However, if a nurse administers appropriate </w:t>
      </w:r>
      <w:r w:rsidRPr="00653E2F">
        <w:rPr>
          <w:rFonts w:ascii="ACaslonPro" w:eastAsia="Times New Roman" w:hAnsi="ACaslonPro" w:cs="Times New Roman"/>
          <w:sz w:val="20"/>
          <w:szCs w:val="20"/>
        </w:rPr>
        <w:lastRenderedPageBreak/>
        <w:t xml:space="preserve">pain medication but fails to put up the side rails of the patient’s bed, and the client falls and breaks a hip, all four elements have been satisfied. The duty of care is the standard of care. The law defines stan- dard of care as that which a reasonable, prudent practitioner with similar education and experience would do or not do in similar circumstances (Gic, 2009). </w:t>
      </w:r>
    </w:p>
    <w:p w14:paraId="0C37721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2"/>
          <w:szCs w:val="22"/>
        </w:rPr>
        <w:t xml:space="preserve">Malpractice </w:t>
      </w:r>
    </w:p>
    <w:p w14:paraId="461FA98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i/>
          <w:iCs/>
          <w:sz w:val="20"/>
          <w:szCs w:val="20"/>
        </w:rPr>
        <w:t xml:space="preserve">Malpractice </w:t>
      </w:r>
      <w:r w:rsidRPr="00653E2F">
        <w:rPr>
          <w:rFonts w:ascii="ACaslonPro" w:eastAsia="Times New Roman" w:hAnsi="ACaslonPro" w:cs="Times New Roman"/>
          <w:sz w:val="20"/>
          <w:szCs w:val="20"/>
        </w:rPr>
        <w:t xml:space="preserve">is the term used for professional negli- gence. When fulfillment of duties requires special- ized education, the term </w:t>
      </w:r>
      <w:r w:rsidRPr="00653E2F">
        <w:rPr>
          <w:rFonts w:ascii="ACaslonPro" w:eastAsia="Times New Roman" w:hAnsi="ACaslonPro" w:cs="Times New Roman"/>
          <w:i/>
          <w:iCs/>
          <w:sz w:val="20"/>
          <w:szCs w:val="20"/>
        </w:rPr>
        <w:t xml:space="preserve">malpractice </w:t>
      </w:r>
      <w:r w:rsidRPr="00653E2F">
        <w:rPr>
          <w:rFonts w:ascii="ACaslonPro" w:eastAsia="Times New Roman" w:hAnsi="ACaslonPro" w:cs="Times New Roman"/>
          <w:sz w:val="20"/>
          <w:szCs w:val="20"/>
        </w:rPr>
        <w:t xml:space="preserve">is used. In most malpractice suits, the facilities employing the nurses who cared for a client are named as defendants in the suit. Vicarious liability is the legal principle cited in these cases. Three doctrines, </w:t>
      </w:r>
      <w:r w:rsidRPr="00653E2F">
        <w:rPr>
          <w:rFonts w:ascii="ACaslonPro" w:eastAsia="Times New Roman" w:hAnsi="ACaslonPro" w:cs="Times New Roman"/>
          <w:i/>
          <w:iCs/>
          <w:sz w:val="20"/>
          <w:szCs w:val="20"/>
        </w:rPr>
        <w:t xml:space="preserve">respondeat superior, </w:t>
      </w:r>
      <w:r w:rsidRPr="00653E2F">
        <w:rPr>
          <w:rFonts w:ascii="ACaslonPro" w:eastAsia="Times New Roman" w:hAnsi="ACaslonPro" w:cs="Times New Roman"/>
          <w:sz w:val="20"/>
          <w:szCs w:val="20"/>
        </w:rPr>
        <w:t xml:space="preserve">the borrowed servant doctrine, and the captain of the ship doctrine fall under vicarious liability. The captain of the ship doctrine, which is an adaptation from the “borrowed servant” rules came about in a case known as </w:t>
      </w:r>
      <w:r w:rsidRPr="00653E2F">
        <w:rPr>
          <w:rFonts w:ascii="ACaslonPro" w:eastAsia="Times New Roman" w:hAnsi="ACaslonPro" w:cs="Times New Roman"/>
          <w:i/>
          <w:iCs/>
          <w:sz w:val="20"/>
          <w:szCs w:val="20"/>
        </w:rPr>
        <w:t xml:space="preserve">McConnell v Wil- liams </w:t>
      </w:r>
      <w:r w:rsidRPr="00653E2F">
        <w:rPr>
          <w:rFonts w:ascii="ACaslonPro" w:eastAsia="Times New Roman" w:hAnsi="ACaslonPro" w:cs="Times New Roman"/>
          <w:sz w:val="20"/>
          <w:szCs w:val="20"/>
        </w:rPr>
        <w:t>and refers to medical malpractice</w:t>
      </w:r>
      <w:r w:rsidRPr="00653E2F">
        <w:rPr>
          <w:rFonts w:ascii="ACaslonPro" w:eastAsia="Times New Roman" w:hAnsi="ACaslonPro" w:cs="Times New Roman"/>
          <w:i/>
          <w:iCs/>
          <w:sz w:val="20"/>
          <w:szCs w:val="20"/>
        </w:rPr>
        <w:t xml:space="preserve">. </w:t>
      </w:r>
      <w:r w:rsidRPr="00653E2F">
        <w:rPr>
          <w:rFonts w:ascii="ACaslonPro" w:eastAsia="Times New Roman" w:hAnsi="ACaslonPro" w:cs="Times New Roman"/>
          <w:sz w:val="20"/>
          <w:szCs w:val="20"/>
        </w:rPr>
        <w:t xml:space="preserve">The ruling declared that the person in charge is held account- able for all those falling under his or her supervi- sion, regardless of whether the “captain” is directly responsible for an alleged error or act of alleged negligence, and despite the others’ positions as hos- pital employees. </w:t>
      </w:r>
    </w:p>
    <w:p w14:paraId="47B67D9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An important principle in understanding negli- gence is </w:t>
      </w:r>
      <w:r w:rsidRPr="00653E2F">
        <w:rPr>
          <w:rFonts w:ascii="ACaslonPro" w:eastAsia="Times New Roman" w:hAnsi="ACaslonPro" w:cs="Times New Roman"/>
          <w:i/>
          <w:iCs/>
          <w:sz w:val="20"/>
          <w:szCs w:val="20"/>
        </w:rPr>
        <w:t xml:space="preserve">respondeat superior </w:t>
      </w:r>
      <w:r w:rsidRPr="00653E2F">
        <w:rPr>
          <w:rFonts w:ascii="ACaslonPro" w:eastAsia="Times New Roman" w:hAnsi="ACaslonPro" w:cs="Times New Roman"/>
          <w:sz w:val="20"/>
          <w:szCs w:val="20"/>
        </w:rPr>
        <w:t xml:space="preserve">(“let the master answer”) (Aiken, 2004, p. 279). This doctrine holds employ- ers liable for any negligence by their employees when the employees were acting within the realm of employment and when the alleged negligent acts happened during employment (Aiken, 2004). The borrowed servant doctrine comes into play when an employee may be subject to the control and direc- tion of an entity other than the primary employer. In this situation someone other than an individual’s primary employer is responsible for his or her ac- tions. For example, an anesthesiologist supervising a resident may be held liable for the resident’s error. </w:t>
      </w:r>
    </w:p>
    <w:p w14:paraId="3EFD383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Consider the following scenario: </w:t>
      </w:r>
    </w:p>
    <w:p w14:paraId="1362637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i/>
          <w:iCs/>
          <w:sz w:val="20"/>
          <w:szCs w:val="20"/>
        </w:rPr>
        <w:t xml:space="preserve">A nursing instructor on a clinical unit in a busy metropolitan hospital instructed his students not to administer any medications unless he was present. Marcos, a second-level student, was unable to find his instructor, so he decided to administer digoxin to his client without supervision. The ordered dose was 0.125 mg. The unit dose came as digoxin 0.5 mg/ mL. Marcos administered the entire amount without checking the digoxin dose or the client’s blood digoxin and potassium levels. The client became toxic, developed a dysrhythmia, and was transferred to the intensive care unit. The family sued the hospital and the nursing school for malprac- tice. The nursing instructor was also sued under the </w:t>
      </w:r>
    </w:p>
    <w:p w14:paraId="408E524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i/>
          <w:iCs/>
          <w:sz w:val="20"/>
          <w:szCs w:val="20"/>
        </w:rPr>
        <w:t xml:space="preserve">principle of respondeat superior, even though specif ic instructions had been given to the students regard- ing administering medications without direct supervision. </w:t>
      </w:r>
    </w:p>
    <w:p w14:paraId="2EF822C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A30A00"/>
          <w:sz w:val="26"/>
          <w:szCs w:val="26"/>
        </w:rPr>
        <w:t xml:space="preserve">Other Laws Relevant to Nursing Practice </w:t>
      </w:r>
    </w:p>
    <w:p w14:paraId="005BC94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Good Samaritan Laws </w:t>
      </w:r>
    </w:p>
    <w:p w14:paraId="5C44474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Fear of being sued has often prevented trained pro- fessionals from assisting during an emergency. To encourage physicians and nurses to respond to emergencies, many states developed what are now known as the Good Samaritan laws. When admin- istering emergency care, nurses and physicians are protected from civil liability by Good Samaritan laws as long as they behave in the same manner as an ordinary, reasonable, and prudent professional in the same or similar circumstances (Glannon, 2005). In other words, when assisting during an emer- gency, nurses must still observe professional stan- dards of care. However, if a payment is received for the care given, the Good Samaritan laws do not hold. </w:t>
      </w:r>
    </w:p>
    <w:p w14:paraId="426E92D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Confidentiality </w:t>
      </w:r>
    </w:p>
    <w:p w14:paraId="2704C8A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lastRenderedPageBreak/>
        <w:t xml:space="preserve">It is possible for nurses to be involved in lawsuits other than those involving negligence. For example, clients have the right to confidentiality, and it is the duty of the professional nurse to ensure this right. This assures the client that information obtained by a nurse while providing care will not be com- municated to anyone who does not have a need to know. This includes giving information by tele- phone to individuals claiming to be related to a client, giving information without a client’s signed release, or removing documents from a health-care provider with a client’s name or other information. </w:t>
      </w:r>
    </w:p>
    <w:p w14:paraId="7D929A7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 Health Insurance Portability and Account- ability Act (HIPAA) of 1996 was passed as an effort to preserve confidentiality, protect the privacy of health information, and improve the portability and continuation of health-care coverage. The HIPAA gave Congress until August 1999 to pass this legislation. Congress failed to act, and the Department of Health and Human Services took over developing the appropriate regulations (Char- ters, 2003). The latest version of this privacy act was published in the </w:t>
      </w:r>
      <w:r w:rsidRPr="00653E2F">
        <w:rPr>
          <w:rFonts w:ascii="ACaslonPro" w:eastAsia="Times New Roman" w:hAnsi="ACaslonPro" w:cs="Times New Roman"/>
          <w:i/>
          <w:iCs/>
          <w:sz w:val="20"/>
          <w:szCs w:val="20"/>
        </w:rPr>
        <w:t xml:space="preserve">Federal Register </w:t>
      </w:r>
      <w:r w:rsidRPr="00653E2F">
        <w:rPr>
          <w:rFonts w:ascii="ACaslonPro" w:eastAsia="Times New Roman" w:hAnsi="ACaslonPro" w:cs="Times New Roman"/>
          <w:sz w:val="20"/>
          <w:szCs w:val="20"/>
        </w:rPr>
        <w:t xml:space="preserve">in 2002 (Charters, 2003). </w:t>
      </w:r>
    </w:p>
    <w:p w14:paraId="7C3D95D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 increased use of electronic sources of do- cumentation and transfer of client information presents many confidentiality issues. It is impor- tant for nurses to be aware of the guidelines pro- tecting the sharing and transfer of information through electronic sources. Most health-care insti- tutions have internal procedures to protect client confidentiality. </w:t>
      </w:r>
    </w:p>
    <w:p w14:paraId="61AAFAD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Consider the following example: </w:t>
      </w:r>
    </w:p>
    <w:p w14:paraId="7766669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i/>
          <w:iCs/>
          <w:sz w:val="20"/>
          <w:szCs w:val="20"/>
        </w:rPr>
        <w:t xml:space="preserve">Bill was admitted to the hospital for pneumonia. With Bill’s permission, an HIV test was per- formed, and the result was positive. This infor- mation was available on the computerized laboratory result printout. A nurse inadvertently left the laboratory results on the computer screen, which was partially facing the hallway. One of Bill’s coworkers, who had come to visit him, saw the report on the screen. This individual reported the test results to Bill’s supervisor. When Bill returned to work, he was fired for “poor job perfor- mance,” although he had had superior job evalua- tions. In the process of filing a discrimination suit against his employer, Bill discovered that the infor- mation on his health status had come from this source. A lawsuit was filed against the hospital and the nurse involved based on a breach of conf identiality. </w:t>
      </w:r>
    </w:p>
    <w:p w14:paraId="2E7BAB0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Social Networking </w:t>
      </w:r>
    </w:p>
    <w:p w14:paraId="595D915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Another issue affecting confidentiality involves social networking. The increased use of smart- phones has led to increased violations of confiden- tiality. These infractions often occur without intent yet pose a risk to clients and health-care person- nel. Posting pictures and information on social net- working sites that involve clinical experiences and/ or work experiences can present a risk to patient confidentiality and violate HIPAA regulations. Many institutions have implemented policies that affect employees and student affiliations. These policies may result in employee termination and/ or cancelling agreements with outside agencies using the health-care institution.Take the following example: </w:t>
      </w:r>
    </w:p>
    <w:p w14:paraId="759DE0B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i/>
          <w:iCs/>
          <w:sz w:val="20"/>
          <w:szCs w:val="20"/>
        </w:rPr>
        <w:t xml:space="preserve">Several nursing students who received scholarships from an affiliating health-care institution were working their required shift in the emergency department. The staff brought in a birthday cake for one of the emergency department physicians. One of </w:t>
      </w:r>
    </w:p>
    <w:p w14:paraId="44C1CC9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chapter </w:t>
      </w:r>
      <w:r w:rsidRPr="00653E2F">
        <w:rPr>
          <w:rFonts w:ascii="FuturaStd" w:eastAsia="Times New Roman" w:hAnsi="FuturaStd" w:cs="Times New Roman"/>
          <w:sz w:val="20"/>
          <w:szCs w:val="20"/>
        </w:rPr>
        <w:t xml:space="preserve">3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Nursing Practice and the Law </w:t>
      </w:r>
      <w:r w:rsidRPr="00653E2F">
        <w:rPr>
          <w:rFonts w:ascii="ACaslonPro" w:eastAsia="Times New Roman" w:hAnsi="ACaslonPro" w:cs="Times New Roman"/>
          <w:b/>
          <w:bCs/>
          <w:i/>
          <w:iCs/>
          <w:sz w:val="20"/>
          <w:szCs w:val="20"/>
        </w:rPr>
        <w:t xml:space="preserve">31 </w:t>
      </w:r>
    </w:p>
    <w:p w14:paraId="59D2215B" w14:textId="2D972D3F"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lastRenderedPageBreak/>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"/var/folders/xx/b74wr1s110v7wd4fcc2vzqx80000gn/T/com.microsoft.Word/WebArchiveCopyPasteTempFiles/page44image38717312"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3FE24918" wp14:editId="7D9DE640">
            <wp:extent cx="1068070" cy="2743200"/>
            <wp:effectExtent l="0" t="0" r="0" b="0"/>
            <wp:docPr id="34" name="Picture 34" descr="page44image38717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age44image387173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807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6D5686D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0"/>
          <w:szCs w:val="20"/>
        </w:rPr>
        <w:t xml:space="preserve">32 </w:t>
      </w:r>
      <w:r w:rsidRPr="00653E2F">
        <w:rPr>
          <w:rFonts w:ascii="FuturaStd" w:eastAsia="Times New Roman" w:hAnsi="FuturaStd" w:cs="Times New Roman"/>
          <w:sz w:val="16"/>
          <w:szCs w:val="16"/>
        </w:rPr>
        <w:t xml:space="preserve">unit </w:t>
      </w:r>
      <w:r w:rsidRPr="00653E2F">
        <w:rPr>
          <w:rFonts w:ascii="FuturaStd" w:eastAsia="Times New Roman" w:hAnsi="FuturaStd" w:cs="Times New Roman"/>
          <w:sz w:val="20"/>
          <w:szCs w:val="20"/>
        </w:rPr>
        <w:t xml:space="preserve">1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Professional Considerations </w:t>
      </w:r>
    </w:p>
    <w:p w14:paraId="2B8087D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i/>
          <w:iCs/>
          <w:sz w:val="20"/>
          <w:szCs w:val="20"/>
        </w:rPr>
        <w:t xml:space="preserve">the students snapped a picture of the staff with the physician and posted it on her social network page. The computer screen with the names and information of the clients in the emergency depart- ment at the time was clearly visible behind the phy- sician and the staff. Another staff member discovered this and notified the chief nursing officer of the hospital. The nursing student lost her scholarship, was terminated from her job, and was required to return all monies back to the institution. Disciplin- ary actions were taken against the staff involved in the incident. </w:t>
      </w:r>
    </w:p>
    <w:p w14:paraId="7CE89F9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Slander and Libel </w:t>
      </w:r>
    </w:p>
    <w:p w14:paraId="0340600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Slander and libel are categorized as quasi-inten- tional torts. The term </w:t>
      </w:r>
      <w:r w:rsidRPr="00653E2F">
        <w:rPr>
          <w:rFonts w:ascii="ACaslonPro" w:eastAsia="Times New Roman" w:hAnsi="ACaslonPro" w:cs="Times New Roman"/>
          <w:i/>
          <w:iCs/>
          <w:sz w:val="20"/>
          <w:szCs w:val="20"/>
        </w:rPr>
        <w:t xml:space="preserve">slander </w:t>
      </w:r>
      <w:r w:rsidRPr="00653E2F">
        <w:rPr>
          <w:rFonts w:ascii="ACaslonPro" w:eastAsia="Times New Roman" w:hAnsi="ACaslonPro" w:cs="Times New Roman"/>
          <w:sz w:val="20"/>
          <w:szCs w:val="20"/>
        </w:rPr>
        <w:t xml:space="preserve">refers to the spoken word, and </w:t>
      </w:r>
      <w:r w:rsidRPr="00653E2F">
        <w:rPr>
          <w:rFonts w:ascii="ACaslonPro" w:eastAsia="Times New Roman" w:hAnsi="ACaslonPro" w:cs="Times New Roman"/>
          <w:i/>
          <w:iCs/>
          <w:sz w:val="20"/>
          <w:szCs w:val="20"/>
        </w:rPr>
        <w:t xml:space="preserve">libel </w:t>
      </w:r>
      <w:r w:rsidRPr="00653E2F">
        <w:rPr>
          <w:rFonts w:ascii="ACaslonPro" w:eastAsia="Times New Roman" w:hAnsi="ACaslonPro" w:cs="Times New Roman"/>
          <w:sz w:val="20"/>
          <w:szCs w:val="20"/>
        </w:rPr>
        <w:t xml:space="preserve">refers to the written word. Nurses rarely think of themselves as being guilty of slander or libel, but making a false verbal statement about a client’s condition that may result in an injury to that client is considered slander. Making a false written statement is libel. For example, verbally stating that a client who had blood drawn for drug testing has a substance abuse problem, when in fact the client does not carry that diagnosis, could be considered a slanderous statement. </w:t>
      </w:r>
    </w:p>
    <w:p w14:paraId="57B1525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Slander and libel also refer to statements made about coworkers or other individuals whom you may encounter in both your professional and edu- cational life. Think before you speak and write. Sometimes what may appear to be harmless to you, such as a complaint, may contain statements that damage another person’s credibility personally and professionally. Consider this example: </w:t>
      </w:r>
    </w:p>
    <w:p w14:paraId="48B0FDB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i/>
          <w:iCs/>
          <w:sz w:val="20"/>
          <w:szCs w:val="20"/>
        </w:rPr>
        <w:t xml:space="preserve">Several nurses on a unit were having difficulty with the nurse manager. Rather than approach the manager or follow the chain of command, they decided to send a written statement to the chief executive officer (CEO) of the hospital. In this letter, they embellished some of the incidents that occurred and took out of context statements that the nurse manager had made, changing the mean- ings of the remarks. The nurse manager was called to the CEO’s office and reprimanded for these events and statements, which in fact had not occurred. The nurse manager sued the nurses for slander and libel based on the premise that her personal and professional reputation had been tainted. </w:t>
      </w:r>
    </w:p>
    <w:p w14:paraId="49016C9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False Imprisonment </w:t>
      </w:r>
    </w:p>
    <w:p w14:paraId="56AF5E9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lastRenderedPageBreak/>
        <w:t xml:space="preserve">False imprisonment is confining an individual against his or her will by either physical (restrain- ing) or verbal (detaining) means. The following are examples: </w:t>
      </w:r>
    </w:p>
    <w:p w14:paraId="20CC346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sz w:val="20"/>
          <w:szCs w:val="20"/>
        </w:rPr>
        <w:t xml:space="preserve">Using restraints on individuals without the appropriate written consent </w:t>
      </w:r>
    </w:p>
    <w:p w14:paraId="5503F93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sz w:val="20"/>
          <w:szCs w:val="20"/>
        </w:rPr>
        <w:t xml:space="preserve">Restraining mentally challenged individuals who do not represent a threat to themselves or others </w:t>
      </w:r>
    </w:p>
    <w:p w14:paraId="147C6EA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sz w:val="20"/>
          <w:szCs w:val="20"/>
        </w:rPr>
        <w:t xml:space="preserve">Detaining unwilling clients in an institution when they desire to leave </w:t>
      </w:r>
    </w:p>
    <w:p w14:paraId="04ACBA1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sz w:val="20"/>
          <w:szCs w:val="20"/>
        </w:rPr>
        <w:t xml:space="preserve">Keeping persons who are medically cleared for discharge for an unreasonable amount of time </w:t>
      </w:r>
    </w:p>
    <w:p w14:paraId="716B75D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sz w:val="20"/>
          <w:szCs w:val="20"/>
        </w:rPr>
        <w:t xml:space="preserve">Removing clients’ clothing to prevent them from leaving the institution </w:t>
      </w:r>
    </w:p>
    <w:p w14:paraId="4293C9F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sz w:val="20"/>
          <w:szCs w:val="20"/>
        </w:rPr>
        <w:t xml:space="preserve">Threatening clients with some form of physical, emotional, or legal action if they insist on leaving </w:t>
      </w:r>
    </w:p>
    <w:p w14:paraId="3AB8BA8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Sometimes clients are a danger to themselves and to others. Nurses need to decide on the appropri- ateness of restraints as a protective measure. Nurses should try to obtain the cooperation of the client before applying any type of restraint. The first step is to attempt to identify a reason for the risky or threatening behavior and resolve the problem. If this fails, document the need for restraints, consult with the physician, and carefully follow the institu- tion’s policies and standards of practice. Systematic documentation and continual assessment are of highest importance when caring for clients who have restraints. Any changes in client status must be reported and documented. Failure to follow these guidelines may result in greater harm to the client and possibly a lawsuit for the staff. Consider the following: </w:t>
      </w:r>
    </w:p>
    <w:p w14:paraId="5BD817F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i/>
          <w:iCs/>
          <w:sz w:val="20"/>
          <w:szCs w:val="20"/>
        </w:rPr>
        <w:t xml:space="preserve">Mr. Harrison, who is 87 years old, was admitted to the hospital through the emergency department with severe lower abdominal pain of 3 days’ duration. Physical assessment revealed severe dehydration and acute distress. A surgeon was called, and an abdomi- nal laparotomy was performed, revealing a rup- tured appendix. Surgery was successful, and the client was sent to the intensive care unit for 24 hours. On transfer to the surgical floor the next day, Mr. Harrison was in stable condition. Later that night, he became confused, irritable, and anxious. </w:t>
      </w:r>
    </w:p>
    <w:p w14:paraId="0C1D546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i/>
          <w:iCs/>
          <w:sz w:val="20"/>
          <w:szCs w:val="20"/>
        </w:rPr>
        <w:t xml:space="preserve">He attempted to climb out of bed and pulled out his indwelling urinary catheter. The nurse restrained him. The next day, his irritability and confusion continued. Mr. Harrison’s nurse placed him in a chair, tying him in and restraining his hands. Three hours later he was found in cardiopulmonary arrest. A lawsuit of wrongful death and false imprison- ment was brought against the nurse manager, the nurses caring for Mr. Harrison, and the institution. During discovery, it was determined that the primary cause of Mr. Harrison’s behavior was hypoxemia. A violation of law occurred with the failure of the nursing staff to notify the physician of the client’s condition and to follow the institution’s standard of practice on the use of restraints. </w:t>
      </w:r>
    </w:p>
    <w:p w14:paraId="5C3BA0D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To protect themselves against charges of negligence or false imprisonment in such cases, nurses should discuss safety needs with clients, their families, or other members of the health-care team. Careful assessment and documentation of client status are imperative and also components of good nursing practice. Confusion, irritability, and anxiety often have metabolic causes that need correction, not restraint. </w:t>
      </w:r>
    </w:p>
    <w:p w14:paraId="76959B5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There are statutes and case laws specific to the admission of clients to psychiatric institutions. Most states have guidelines for emergency involun- tary hospitalization for a specific period of time. Involuntary admission is considered necessary when clients demonstrate a danger to themselves or others. Specific procedures and legal guidelines must be followed. A determination by a judge or administrative agency and/or certification by a specified number of health-care providers that a person’s mental health justifies his or her detention and treatment may be required. Once admitted, these clients may not be restrained unless the guide- lines established by state law and the institution’s policies provide for this possibility. Clients who voluntarily admit themselves to psychiatric institu- tions are also protected against false imprisonment. Nurses working in areas such as emergency depart- ments, mental health facilities, and so forth need to be cognizant of these issues and find out the policies of their state and employing institution. </w:t>
      </w:r>
    </w:p>
    <w:p w14:paraId="6475268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lastRenderedPageBreak/>
        <w:t xml:space="preserve">Assault and Battery </w:t>
      </w:r>
    </w:p>
    <w:p w14:paraId="7D5405A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Assault is threatening to do harm. Battery is touch- ing another person without his or her consent. The significance of an assault lies in the threat: </w:t>
      </w:r>
    </w:p>
    <w:p w14:paraId="1B698DC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“If you don’t stop pushing that call bell, I’ll give you this injection with the biggest needle I can find” is considered an assaultive statement. Bat- tery would occur if the injection were given when it was refused, even if medical personnel deemed it was for the “client’s good.” With few exceptions, clients have a right to refuse treatment. Holding down a violent client against his or her will and injecting a sedative is battery. Most medical treat- ments, particularly surgery, would be considered battery if clients failed to provide informed consent. </w:t>
      </w:r>
    </w:p>
    <w:p w14:paraId="3B7077B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A30A00"/>
          <w:sz w:val="26"/>
          <w:szCs w:val="26"/>
        </w:rPr>
        <w:t xml:space="preserve">Standards of Practice </w:t>
      </w:r>
    </w:p>
    <w:p w14:paraId="64AE57D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Avedis Donabedian (1988) said, “Standards are professionally developed expressions of the range of acceptable variations from a norm or criterion.” Concern for the quality of care is a major part of nursing’s responsibility to the public. Therefore, the nursing profession is accountable to the consumer for the quality of its services. </w:t>
      </w:r>
    </w:p>
    <w:p w14:paraId="0F6CA63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One of the defining characteristics of a profes- sion is the ability to set its own standards. Nursing standards were established as guidelines for the profession to ensure acceptable quality of care (Beckman, 1995). Standards of practice are also used as criteria to determine whether appropriate care has been delivered. In practice, they repre- sent the minimum acceptable level of care. Nurses are judged on generally accepted standards of prac- tice for their level of education, experience, posi- tion, and specialty area. Standards take many forms. Some are written and appear as criteria of pro- fessional organizations, job descriptions, agency policies and procedures, and textbooks. Others, which may be intrinsic to the custom of practice, are not found in writing (Beckman, 1995). </w:t>
      </w:r>
    </w:p>
    <w:p w14:paraId="5630DD3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State boards of nursing and professional organi- zations vary by role and responsibility in relation to standards of development and implementation (ANA, 1998; 2011). Statutes written by the gov- ernment, professional organizations, and health- care institutions establish standards of practice. The nurse practice acts of individual states define the boundaries of nursing practice within the state. In Canada, the provincial and territorial associations define practice. </w:t>
      </w:r>
    </w:p>
    <w:p w14:paraId="2BA3C6B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 courts have upheld the authority of boards of nursing to regulate standards. The boards ac- complish this through direct or delegated statutory language (ANA, 1998; 2004; 2011). The American </w:t>
      </w:r>
    </w:p>
    <w:p w14:paraId="450B7A1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chapter </w:t>
      </w:r>
      <w:r w:rsidRPr="00653E2F">
        <w:rPr>
          <w:rFonts w:ascii="FuturaStd" w:eastAsia="Times New Roman" w:hAnsi="FuturaStd" w:cs="Times New Roman"/>
          <w:sz w:val="20"/>
          <w:szCs w:val="20"/>
        </w:rPr>
        <w:t xml:space="preserve">3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Nursing Practice and the Law </w:t>
      </w:r>
      <w:r w:rsidRPr="00653E2F">
        <w:rPr>
          <w:rFonts w:ascii="ACaslonPro" w:eastAsia="Times New Roman" w:hAnsi="ACaslonPro" w:cs="Times New Roman"/>
          <w:b/>
          <w:bCs/>
          <w:i/>
          <w:iCs/>
          <w:sz w:val="20"/>
          <w:szCs w:val="20"/>
        </w:rPr>
        <w:t xml:space="preserve">33 </w:t>
      </w:r>
    </w:p>
    <w:p w14:paraId="6457270E" w14:textId="0945CDDA"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lastRenderedPageBreak/>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"/var/folders/xx/b74wr1s110v7wd4fcc2vzqx80000gn/T/com.microsoft.Word/WebArchiveCopyPasteTempFiles/page46image38667008"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671AFC93" wp14:editId="52184CC4">
            <wp:extent cx="1068070" cy="2743200"/>
            <wp:effectExtent l="0" t="0" r="0" b="0"/>
            <wp:docPr id="33" name="Picture 33" descr="page46image38667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age46image3866700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807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7E82437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0"/>
          <w:szCs w:val="20"/>
        </w:rPr>
        <w:t xml:space="preserve">34 </w:t>
      </w:r>
      <w:r w:rsidRPr="00653E2F">
        <w:rPr>
          <w:rFonts w:ascii="FuturaStd" w:eastAsia="Times New Roman" w:hAnsi="FuturaStd" w:cs="Times New Roman"/>
          <w:sz w:val="16"/>
          <w:szCs w:val="16"/>
        </w:rPr>
        <w:t xml:space="preserve">unit </w:t>
      </w:r>
      <w:r w:rsidRPr="00653E2F">
        <w:rPr>
          <w:rFonts w:ascii="FuturaStd" w:eastAsia="Times New Roman" w:hAnsi="FuturaStd" w:cs="Times New Roman"/>
          <w:sz w:val="20"/>
          <w:szCs w:val="20"/>
        </w:rPr>
        <w:t xml:space="preserve">1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Professional Considerations </w:t>
      </w:r>
    </w:p>
    <w:p w14:paraId="6662FDF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Nurses Association (ANA) also has specific stan- dards of practice in general and in several clinical areas (ANA, 2010) (see Appendix 2). In Canada, the colleges of registered nurses and the registered nurses associations of the various provinces and territories have published practice standards. These may be found at www.cna-aiic.ca. </w:t>
      </w:r>
    </w:p>
    <w:p w14:paraId="7EB6404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Institutions develop internal standards of prac- tice. The standards are usually explained in a spe- cific institutional policy (for example, guidelines for the appropriate administration of a specific chemo- therapeutic agent), and the institution includes these standards in its policy and procedure manuals. The guidelines are based on current literature and research. It is the nurse’s responsibility to meet the institution’s standards of practice. It is the institu- tion’s responsibility to notify the health-care per- sonnel of any changes and instruct the personnel about the changes. Institutions may accomplish this task through written memos or meetings and in- service education. </w:t>
      </w:r>
    </w:p>
    <w:p w14:paraId="30CBCEB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With the expansion of advanced nursing prac- tice, it has become particularly important to clarify the legal distinction between nursing and medi- cal practice. It is important to be aware of the boundaries between these professional domains be- cause crossing them can result in legal conse- quences and disciplinary action. The nurse practice act and related regulations developed by most state legislatures and state boards of nursing help to clarify nursing roles at the various levels of practice. </w:t>
      </w:r>
    </w:p>
    <w:p w14:paraId="15C4FE1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Use of Standards in Nursing Negligence Malpractice Actions </w:t>
      </w:r>
    </w:p>
    <w:p w14:paraId="4154B57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When omission of prudent care or acts committed by a nurse or those under his or her supervision cause harm to a client, standards of nursing prac- tice are among the elements used to determine whether malpractice or negligence exists. Other criteria may include but are not limited to (ANA, 1998; 2011): </w:t>
      </w:r>
    </w:p>
    <w:p w14:paraId="69C33CEC" w14:textId="77777777" w:rsidR="00653E2F" w:rsidRPr="00653E2F" w:rsidRDefault="00653E2F" w:rsidP="00653E2F">
      <w:pPr>
        <w:numPr>
          <w:ilvl w:val="0"/>
          <w:numId w:val="7"/>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State, local, or national standards </w:t>
      </w:r>
    </w:p>
    <w:p w14:paraId="020512A3" w14:textId="77777777" w:rsidR="00653E2F" w:rsidRPr="00653E2F" w:rsidRDefault="00653E2F" w:rsidP="00653E2F">
      <w:pPr>
        <w:numPr>
          <w:ilvl w:val="0"/>
          <w:numId w:val="7"/>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Institutional policies that alter or adhere to the </w:t>
      </w:r>
    </w:p>
    <w:p w14:paraId="17A8B615"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nursing standards of care </w:t>
      </w:r>
    </w:p>
    <w:p w14:paraId="3E5E0651" w14:textId="77777777" w:rsidR="00653E2F" w:rsidRPr="00653E2F" w:rsidRDefault="00653E2F" w:rsidP="00653E2F">
      <w:pPr>
        <w:numPr>
          <w:ilvl w:val="0"/>
          <w:numId w:val="7"/>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Expert opinions on the appropriate standard of </w:t>
      </w:r>
    </w:p>
    <w:p w14:paraId="3825353B"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lastRenderedPageBreak/>
        <w:t xml:space="preserve">care at the time </w:t>
      </w:r>
    </w:p>
    <w:p w14:paraId="0677F02E" w14:textId="77777777" w:rsidR="00653E2F" w:rsidRPr="00653E2F" w:rsidRDefault="00653E2F" w:rsidP="00653E2F">
      <w:pPr>
        <w:numPr>
          <w:ilvl w:val="0"/>
          <w:numId w:val="7"/>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Available literature and research that </w:t>
      </w:r>
    </w:p>
    <w:p w14:paraId="4245BCB9"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substantiates a standard of care or changes in the standard </w:t>
      </w:r>
    </w:p>
    <w:p w14:paraId="0865DEE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Patient’s Bill of Rights </w:t>
      </w:r>
    </w:p>
    <w:p w14:paraId="4724E14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In 1973 the American Hospital Association approved a statement called the Patient’s Bill of Rights. It was revised in October 1992. Patient rights were developed with the belief that hospitals and health-care institutions would support these rights with the goal of delivering effective client care. In 2003 the Patient’s Bill of Rights was replaced by the Patient Care Partnership. These standards were derived from the ethical principle of autonomy. This document may be found at www .aha.org/advocacy-issues/communicatingpts/pt -care-partnership.shtml. </w:t>
      </w:r>
    </w:p>
    <w:p w14:paraId="6CE3B58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Informed Consent </w:t>
      </w:r>
    </w:p>
    <w:p w14:paraId="76B7566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Informed consent is a legal document in all 50 states. It requires physicians to divulge the benefits, risks, and alternatives to a suggested treatment, nontreatment, or procedure. It allows for fully informed, rational persons to be involved in choices about their health care (Marr, 2003). </w:t>
      </w:r>
    </w:p>
    <w:p w14:paraId="727B8CE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Without consent, many of the procedures per- formed on clients in a health-care setting may be considered battery or unwarranted touching. When clients consent to treatment, they give health-care personnel the right to deliver care and perform specific treatments without fear of prosecution. Although physicians are responsible for obtaining informed consent, nurses often find themselves involved in the process. </w:t>
      </w:r>
    </w:p>
    <w:p w14:paraId="08D97D1F"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It is the physician’s responsibility to give infor- mation to a client about a specific treatment or medical intervention (</w:t>
      </w:r>
      <w:r w:rsidRPr="00653E2F">
        <w:rPr>
          <w:rFonts w:ascii="ACaslonPro" w:eastAsia="Times New Roman" w:hAnsi="ACaslonPro" w:cs="Times New Roman"/>
          <w:i/>
          <w:iCs/>
          <w:sz w:val="20"/>
          <w:szCs w:val="20"/>
        </w:rPr>
        <w:t>Giese v</w:t>
      </w:r>
      <w:r w:rsidRPr="00653E2F">
        <w:rPr>
          <w:rFonts w:ascii="ACaslonPro" w:eastAsia="Times New Roman" w:hAnsi="ACaslonPro" w:cs="Times New Roman"/>
          <w:sz w:val="20"/>
          <w:szCs w:val="20"/>
        </w:rPr>
        <w:t xml:space="preserve">. </w:t>
      </w:r>
      <w:r w:rsidRPr="00653E2F">
        <w:rPr>
          <w:rFonts w:ascii="ACaslonPro" w:eastAsia="Times New Roman" w:hAnsi="ACaslonPro" w:cs="Times New Roman"/>
          <w:i/>
          <w:iCs/>
          <w:sz w:val="20"/>
          <w:szCs w:val="20"/>
        </w:rPr>
        <w:t xml:space="preserve">Stice, </w:t>
      </w:r>
      <w:r w:rsidRPr="00653E2F">
        <w:rPr>
          <w:rFonts w:ascii="ACaslonPro" w:eastAsia="Times New Roman" w:hAnsi="ACaslonPro" w:cs="Times New Roman"/>
          <w:sz w:val="20"/>
          <w:szCs w:val="20"/>
        </w:rPr>
        <w:t xml:space="preserve">1997). While the nurse may witness the signature of a patient for a procedure, or surgery, the nurse should not be providing the details such as the benefits, risk, or possible outcomes. The individual institution is not responsible for obtaining the informed consent unless (1) the physician or practitioner is employed by the institution or (2) the institution was aware or should have been aware of the lack of informed consent and did not act on this fact (Guido, 2001). Some institutions require the physician or indepen- dent practitioner to obtain his or her own informed consent by obtaining the client’s signature at the time the explanation for treatment is given. </w:t>
      </w:r>
    </w:p>
    <w:p w14:paraId="1AA1C3D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Although some nurses may believe that they only need to obtain the client’s signature on the informed consent document, nursing professionals have a larger responsibility in evaluating a client’s </w:t>
      </w:r>
    </w:p>
    <w:p w14:paraId="4AE2BDB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ability to give informed consent. The nurse’s role is to: (a) act as the patient’s advocate, (b) protect the patient’s dignity, (c) identify any fears, and (d) determine the patient’s level of understanding and approval of the proposed care. </w:t>
      </w:r>
    </w:p>
    <w:p w14:paraId="7794C83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Every client brings a different and unique response depending on his or her personality, level of education, emotions, and cognitive status. A good practice is to ask a client to restate the infor- mation offered. This helps confirm that the client has received an appropriate amount of information and has understood it. The nurse is obliged to report any concerns about the client’s understand- ing regarding what he or she has been told, or any concerns about the client’s ability to make decisions. </w:t>
      </w:r>
    </w:p>
    <w:p w14:paraId="21D171F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 informed consent form should contain all the possible negative outcomes as well as the posi- tive ones. The following are some criteria to help ensure that a client has given an informed consent (Berman &amp; Snyder, 2012): </w:t>
      </w:r>
    </w:p>
    <w:p w14:paraId="7B0E1354" w14:textId="77777777" w:rsidR="00653E2F" w:rsidRPr="00653E2F" w:rsidRDefault="00653E2F" w:rsidP="00653E2F">
      <w:pPr>
        <w:numPr>
          <w:ilvl w:val="0"/>
          <w:numId w:val="8"/>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lastRenderedPageBreak/>
        <w:t xml:space="preserve">A mentally competent adult has voluntarily given the consent. </w:t>
      </w:r>
    </w:p>
    <w:p w14:paraId="66086E5B" w14:textId="77777777" w:rsidR="00653E2F" w:rsidRPr="00653E2F" w:rsidRDefault="00653E2F" w:rsidP="00653E2F">
      <w:pPr>
        <w:numPr>
          <w:ilvl w:val="0"/>
          <w:numId w:val="8"/>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The client understands exactly to what he or she is consenting. </w:t>
      </w:r>
    </w:p>
    <w:p w14:paraId="6C7E882D" w14:textId="77777777" w:rsidR="00653E2F" w:rsidRPr="00653E2F" w:rsidRDefault="00653E2F" w:rsidP="00653E2F">
      <w:pPr>
        <w:numPr>
          <w:ilvl w:val="0"/>
          <w:numId w:val="8"/>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The consent includes the risks involved in the procedure, alternative treatments that may be available, and the possible result if the treatment is refused. </w:t>
      </w:r>
    </w:p>
    <w:p w14:paraId="4D3B0E7F" w14:textId="77777777" w:rsidR="00653E2F" w:rsidRPr="00653E2F" w:rsidRDefault="00653E2F" w:rsidP="00653E2F">
      <w:pPr>
        <w:numPr>
          <w:ilvl w:val="0"/>
          <w:numId w:val="8"/>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The consent is written. </w:t>
      </w:r>
    </w:p>
    <w:p w14:paraId="6DA80A8E" w14:textId="77777777" w:rsidR="00653E2F" w:rsidRPr="00653E2F" w:rsidRDefault="00653E2F" w:rsidP="00653E2F">
      <w:pPr>
        <w:numPr>
          <w:ilvl w:val="0"/>
          <w:numId w:val="8"/>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A minor’s parent or guardian usually gives </w:t>
      </w:r>
    </w:p>
    <w:p w14:paraId="62A9E36B"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consent for treatment. </w:t>
      </w:r>
    </w:p>
    <w:p w14:paraId="2A866733"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Ideally, a nurse should be present when the health- care provider who is performing the treatment, surgery, or procedure is explaining the benefits and risks to the client. </w:t>
      </w:r>
    </w:p>
    <w:p w14:paraId="0131D584"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To be able to give informed consent, the client must be fully informed. Clients have the right to refuse treatment, and nurses must respect this right. If a client refuses the recommended treatment, he or she must be informed of the possible conse- quences of this decision. </w:t>
      </w:r>
    </w:p>
    <w:p w14:paraId="6FD8CF17"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Implied consent occurs when consent is assumed. This may be an issue in an emergency when an individual is unable to give consent, as in the fol- lowing scenario: </w:t>
      </w:r>
    </w:p>
    <w:p w14:paraId="6B8D90A7"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ACaslonPro" w:eastAsia="Times New Roman" w:hAnsi="ACaslonPro" w:cs="Times New Roman"/>
          <w:i/>
          <w:iCs/>
          <w:color w:val="0000FF"/>
          <w:position w:val="2"/>
          <w:sz w:val="20"/>
          <w:szCs w:val="20"/>
        </w:rPr>
        <w:t xml:space="preserve">An elderly woman is involved in a car accident on a major highway. The paramedics called to the scene </w:t>
      </w:r>
    </w:p>
    <w:p w14:paraId="30F3403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i/>
          <w:iCs/>
          <w:sz w:val="20"/>
          <w:szCs w:val="20"/>
        </w:rPr>
        <w:t xml:space="preserve">find her unresponsive and in acute respiratory dis- tress; her vital signs are unstable. The paramedics immediately intubate her and begin treating her cardiac dysrhythmias. Because she is unconscious and unable to give verbal consent, there is an implied consent for treatment. </w:t>
      </w:r>
    </w:p>
    <w:p w14:paraId="7EF461D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A30A00"/>
          <w:sz w:val="26"/>
          <w:szCs w:val="26"/>
        </w:rPr>
        <w:t xml:space="preserve">Staying Out of Court </w:t>
      </w:r>
    </w:p>
    <w:p w14:paraId="005959D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Prevention </w:t>
      </w:r>
    </w:p>
    <w:p w14:paraId="7ED8F29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Unfortunately, the public’s trust in the medical pro- fession has declined over recent years. Consumers are better informed and more assertive in their approach to health care. They demand good and responsible care. If clients and their families per- ceive that behaviors are uncaring or that attitudes are impersonal, they are more likely to sue for what they view as errors in treatment. </w:t>
      </w:r>
    </w:p>
    <w:p w14:paraId="63E0328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 same applies to nurses. If nurses demon- strate an interest in clients and their families and display caring behaviors toward clients, a relation- ship develops. Individuals usually do not initiate lawsuits against those they view as “caring friends.” The potential to change the attitudes of health-care consumers is within the power of health-care per- sonnel. Demonstrating care and concern and making clients and families aware of choices and methods help decrease liability. Nurses who involve clients and their families in decisions about care reduce the likelihood of a lawsuit. Tips to prevent legal problems are listed in Box 3-1. </w:t>
      </w:r>
    </w:p>
    <w:p w14:paraId="2AFF1D7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All health-care personnel are accountable for their own actions and adherence to the accepted </w:t>
      </w:r>
    </w:p>
    <w:p w14:paraId="181A2F7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FFFFFF"/>
          <w:sz w:val="14"/>
          <w:szCs w:val="14"/>
          <w:shd w:val="clear" w:color="auto" w:fill="A30A00"/>
        </w:rPr>
        <w:t xml:space="preserve">box 3-1 </w:t>
      </w:r>
    </w:p>
    <w:p w14:paraId="3F9B4B1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A30A00"/>
          <w:sz w:val="20"/>
          <w:szCs w:val="20"/>
        </w:rPr>
        <w:t xml:space="preserve">Tips for Avoiding Legal Problems </w:t>
      </w:r>
    </w:p>
    <w:p w14:paraId="439C4B9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•Keep yourself informed regarding new research related to your area of practice. </w:t>
      </w:r>
    </w:p>
    <w:p w14:paraId="5E0C5CA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•Insist that the health-care institution keep personnel apprised of all changes in policies and procedures and in the management of new technological equipment. </w:t>
      </w:r>
    </w:p>
    <w:p w14:paraId="1B4A93F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lastRenderedPageBreak/>
        <w:t xml:space="preserve">•Always follow the standards of care or practice for the institution. </w:t>
      </w:r>
    </w:p>
    <w:p w14:paraId="171B076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•Delegate tasks and procedures only to appropriate personnel. </w:t>
      </w:r>
    </w:p>
    <w:p w14:paraId="02F8D03F"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•Identify clients at risk for problems, such as falls or the development of decubiti. </w:t>
      </w:r>
    </w:p>
    <w:p w14:paraId="1E59A6B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•Establish and maintain a safe environment. •Document precisely and carefully.</w:t>
      </w:r>
      <w:r w:rsidRPr="00653E2F">
        <w:rPr>
          <w:rFonts w:ascii="FuturaStd" w:eastAsia="Times New Roman" w:hAnsi="FuturaStd" w:cs="Times New Roman"/>
          <w:sz w:val="16"/>
          <w:szCs w:val="16"/>
        </w:rPr>
        <w:br/>
        <w:t xml:space="preserve">•Write detailed incident reports, and file them with the </w:t>
      </w:r>
    </w:p>
    <w:p w14:paraId="705DFCF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appropriate personnel or department.</w:t>
      </w:r>
      <w:r w:rsidRPr="00653E2F">
        <w:rPr>
          <w:rFonts w:ascii="FuturaStd" w:eastAsia="Times New Roman" w:hAnsi="FuturaStd" w:cs="Times New Roman"/>
          <w:sz w:val="16"/>
          <w:szCs w:val="16"/>
        </w:rPr>
        <w:br/>
        <w:t xml:space="preserve">•Recognize certain client behaviors that may indicate the </w:t>
      </w:r>
    </w:p>
    <w:p w14:paraId="60BFA1C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possibility of a lawsuit. </w:t>
      </w:r>
    </w:p>
    <w:p w14:paraId="32AEDCF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chapter </w:t>
      </w:r>
      <w:r w:rsidRPr="00653E2F">
        <w:rPr>
          <w:rFonts w:ascii="FuturaStd" w:eastAsia="Times New Roman" w:hAnsi="FuturaStd" w:cs="Times New Roman"/>
          <w:sz w:val="20"/>
          <w:szCs w:val="20"/>
        </w:rPr>
        <w:t xml:space="preserve">3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Nursing Practice and the Law </w:t>
      </w:r>
      <w:r w:rsidRPr="00653E2F">
        <w:rPr>
          <w:rFonts w:ascii="ACaslonPro" w:eastAsia="Times New Roman" w:hAnsi="ACaslonPro" w:cs="Times New Roman"/>
          <w:b/>
          <w:bCs/>
          <w:i/>
          <w:iCs/>
          <w:sz w:val="20"/>
          <w:szCs w:val="20"/>
        </w:rPr>
        <w:t xml:space="preserve">35 </w:t>
      </w:r>
    </w:p>
    <w:p w14:paraId="795F98A3" w14:textId="4DC715DE"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"/var/folders/xx/b74wr1s110v7wd4fcc2vzqx80000gn/T/com.microsoft.Word/WebArchiveCopyPasteTempFiles/page48image38634432"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115891F6" wp14:editId="7284052A">
            <wp:extent cx="1068070" cy="2743200"/>
            <wp:effectExtent l="0" t="0" r="0" b="0"/>
            <wp:docPr id="32" name="Picture 32" descr="page48image38634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age48image386344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807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"/var/folders/xx/b74wr1s110v7wd4fcc2vzqx80000gn/T/com.microsoft.Word/WebArchiveCopyPasteTempFiles/page48image61333712"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0DE435D4" wp14:editId="7D644D51">
            <wp:extent cx="2589530" cy="153670"/>
            <wp:effectExtent l="0" t="0" r="1270" b="0"/>
            <wp:docPr id="31" name="Picture 31" descr="page48image61333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age48image613337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89530" cy="15367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"/var/folders/xx/b74wr1s110v7wd4fcc2vzqx80000gn/T/com.microsoft.Word/WebArchiveCopyPasteTempFiles/page48image38634816"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06F1C6FB" wp14:editId="278DECC3">
            <wp:extent cx="2589530" cy="2743200"/>
            <wp:effectExtent l="0" t="0" r="1270" b="0"/>
            <wp:docPr id="30" name="Picture 30" descr="page48image38634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age48image386348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8953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"/var/folders/xx/b74wr1s110v7wd4fcc2vzqx80000gn/T/com.microsoft.Word/WebArchiveCopyPasteTempFiles/page48image38635008"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046B512C" wp14:editId="1088D2C1">
            <wp:extent cx="461645" cy="2037080"/>
            <wp:effectExtent l="0" t="0" r="0" b="0"/>
            <wp:docPr id="29" name="Picture 29" descr="page48image386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age48image3863500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1645" cy="203708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"/var/folders/xx/b74wr1s110v7wd4fcc2vzqx80000gn/T/com.microsoft.Word/WebArchiveCopyPasteTempFiles/page48image38635200"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2415AB20" wp14:editId="6F3D889B">
            <wp:extent cx="2589530" cy="2743200"/>
            <wp:effectExtent l="0" t="0" r="1270" b="0"/>
            <wp:docPr id="28" name="Picture 28" descr="page48image38635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ge48image3863520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8953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636FAC2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0"/>
          <w:szCs w:val="20"/>
        </w:rPr>
        <w:t xml:space="preserve">36 </w:t>
      </w:r>
      <w:r w:rsidRPr="00653E2F">
        <w:rPr>
          <w:rFonts w:ascii="FuturaStd" w:eastAsia="Times New Roman" w:hAnsi="FuturaStd" w:cs="Times New Roman"/>
          <w:sz w:val="16"/>
          <w:szCs w:val="16"/>
        </w:rPr>
        <w:t xml:space="preserve">unit </w:t>
      </w:r>
      <w:r w:rsidRPr="00653E2F">
        <w:rPr>
          <w:rFonts w:ascii="FuturaStd" w:eastAsia="Times New Roman" w:hAnsi="FuturaStd" w:cs="Times New Roman"/>
          <w:sz w:val="20"/>
          <w:szCs w:val="20"/>
        </w:rPr>
        <w:t xml:space="preserve">1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Professional Considerations </w:t>
      </w:r>
    </w:p>
    <w:p w14:paraId="4E2C7FF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lastRenderedPageBreak/>
        <w:t xml:space="preserve">standards of health care. Most negligence and mal- practice cases arise from a violation of the accepted standards of practice and the policies of the employ- ing institution. Common causes of negligence are listed in Table 3-1. Expert witnesses are called to cite the accepted standards and assist attorneys in formulating the legal strategies pertaining to those standards. For example, most medication errors can be traced to a violation of the accepted standard of medication administration, originally referred to as the Five Rights (Kozier et al., 1995; Taylor, Lillis, &amp; LeMone, 2008). These were later amended to Seven Rights (Balas, Scott, &amp; Rogers, 2004). In 2011, one more criterion was added, now making Eight Rights (Eisenhauer et al., 2007). </w:t>
      </w:r>
    </w:p>
    <w:p w14:paraId="1C3686E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More recently Elliot and Liu (2010) proposed Nine Rights. </w:t>
      </w:r>
    </w:p>
    <w:p w14:paraId="72E2AAD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000FF"/>
          <w:sz w:val="20"/>
          <w:szCs w:val="20"/>
        </w:rPr>
        <w:t xml:space="preserve">1. </w:t>
      </w:r>
      <w:r w:rsidRPr="00653E2F">
        <w:rPr>
          <w:rFonts w:ascii="ACaslonPro" w:eastAsia="Times New Roman" w:hAnsi="ACaslonPro" w:cs="Times New Roman"/>
          <w:sz w:val="20"/>
          <w:szCs w:val="20"/>
        </w:rPr>
        <w:t>Right drug</w:t>
      </w:r>
      <w:r w:rsidRPr="00653E2F">
        <w:rPr>
          <w:rFonts w:ascii="ACaslonPro" w:eastAsia="Times New Roman" w:hAnsi="ACaslonPro" w:cs="Times New Roman"/>
          <w:sz w:val="20"/>
          <w:szCs w:val="20"/>
        </w:rPr>
        <w:br/>
      </w:r>
      <w:r w:rsidRPr="00653E2F">
        <w:rPr>
          <w:rFonts w:ascii="FuturaStd" w:eastAsia="Times New Roman" w:hAnsi="FuturaStd" w:cs="Times New Roman"/>
          <w:b/>
          <w:bCs/>
          <w:color w:val="0000FF"/>
          <w:sz w:val="20"/>
          <w:szCs w:val="20"/>
        </w:rPr>
        <w:t xml:space="preserve">2. </w:t>
      </w:r>
      <w:r w:rsidRPr="00653E2F">
        <w:rPr>
          <w:rFonts w:ascii="ACaslonPro" w:eastAsia="Times New Roman" w:hAnsi="ACaslonPro" w:cs="Times New Roman"/>
          <w:sz w:val="20"/>
          <w:szCs w:val="20"/>
        </w:rPr>
        <w:t>Right dose</w:t>
      </w:r>
      <w:r w:rsidRPr="00653E2F">
        <w:rPr>
          <w:rFonts w:ascii="ACaslonPro" w:eastAsia="Times New Roman" w:hAnsi="ACaslonPro" w:cs="Times New Roman"/>
          <w:sz w:val="20"/>
          <w:szCs w:val="20"/>
        </w:rPr>
        <w:br/>
      </w:r>
      <w:r w:rsidRPr="00653E2F">
        <w:rPr>
          <w:rFonts w:ascii="FuturaStd" w:eastAsia="Times New Roman" w:hAnsi="FuturaStd" w:cs="Times New Roman"/>
          <w:b/>
          <w:bCs/>
          <w:color w:val="0000FF"/>
          <w:sz w:val="20"/>
          <w:szCs w:val="20"/>
        </w:rPr>
        <w:t xml:space="preserve">3. </w:t>
      </w:r>
      <w:r w:rsidRPr="00653E2F">
        <w:rPr>
          <w:rFonts w:ascii="ACaslonPro" w:eastAsia="Times New Roman" w:hAnsi="ACaslonPro" w:cs="Times New Roman"/>
          <w:sz w:val="20"/>
          <w:szCs w:val="20"/>
        </w:rPr>
        <w:t>Right route</w:t>
      </w:r>
      <w:r w:rsidRPr="00653E2F">
        <w:rPr>
          <w:rFonts w:ascii="ACaslonPro" w:eastAsia="Times New Roman" w:hAnsi="ACaslonPro" w:cs="Times New Roman"/>
          <w:sz w:val="20"/>
          <w:szCs w:val="20"/>
        </w:rPr>
        <w:br/>
      </w:r>
      <w:r w:rsidRPr="00653E2F">
        <w:rPr>
          <w:rFonts w:ascii="FuturaStd" w:eastAsia="Times New Roman" w:hAnsi="FuturaStd" w:cs="Times New Roman"/>
          <w:b/>
          <w:bCs/>
          <w:color w:val="0000FF"/>
          <w:sz w:val="20"/>
          <w:szCs w:val="20"/>
        </w:rPr>
        <w:t xml:space="preserve">4. </w:t>
      </w:r>
      <w:r w:rsidRPr="00653E2F">
        <w:rPr>
          <w:rFonts w:ascii="ACaslonPro" w:eastAsia="Times New Roman" w:hAnsi="ACaslonPro" w:cs="Times New Roman"/>
          <w:sz w:val="20"/>
          <w:szCs w:val="20"/>
        </w:rPr>
        <w:t>Right time</w:t>
      </w:r>
      <w:r w:rsidRPr="00653E2F">
        <w:rPr>
          <w:rFonts w:ascii="ACaslonPro" w:eastAsia="Times New Roman" w:hAnsi="ACaslonPro" w:cs="Times New Roman"/>
          <w:sz w:val="20"/>
          <w:szCs w:val="20"/>
        </w:rPr>
        <w:br/>
      </w:r>
      <w:r w:rsidRPr="00653E2F">
        <w:rPr>
          <w:rFonts w:ascii="FuturaStd" w:eastAsia="Times New Roman" w:hAnsi="FuturaStd" w:cs="Times New Roman"/>
          <w:b/>
          <w:bCs/>
          <w:color w:val="0000FF"/>
          <w:sz w:val="20"/>
          <w:szCs w:val="20"/>
        </w:rPr>
        <w:t xml:space="preserve">5. </w:t>
      </w:r>
      <w:r w:rsidRPr="00653E2F">
        <w:rPr>
          <w:rFonts w:ascii="ACaslonPro" w:eastAsia="Times New Roman" w:hAnsi="ACaslonPro" w:cs="Times New Roman"/>
          <w:sz w:val="20"/>
          <w:szCs w:val="20"/>
        </w:rPr>
        <w:t>Right client</w:t>
      </w:r>
      <w:r w:rsidRPr="00653E2F">
        <w:rPr>
          <w:rFonts w:ascii="ACaslonPro" w:eastAsia="Times New Roman" w:hAnsi="ACaslonPro" w:cs="Times New Roman"/>
          <w:sz w:val="20"/>
          <w:szCs w:val="20"/>
        </w:rPr>
        <w:br/>
      </w:r>
      <w:r w:rsidRPr="00653E2F">
        <w:rPr>
          <w:rFonts w:ascii="FuturaStd" w:eastAsia="Times New Roman" w:hAnsi="FuturaStd" w:cs="Times New Roman"/>
          <w:b/>
          <w:bCs/>
          <w:color w:val="0000FF"/>
          <w:sz w:val="20"/>
          <w:szCs w:val="20"/>
        </w:rPr>
        <w:t xml:space="preserve">6. </w:t>
      </w:r>
      <w:r w:rsidRPr="00653E2F">
        <w:rPr>
          <w:rFonts w:ascii="ACaslonPro" w:eastAsia="Times New Roman" w:hAnsi="ACaslonPro" w:cs="Times New Roman"/>
          <w:sz w:val="20"/>
          <w:szCs w:val="20"/>
        </w:rPr>
        <w:t>Right reason</w:t>
      </w:r>
      <w:r w:rsidRPr="00653E2F">
        <w:rPr>
          <w:rFonts w:ascii="ACaslonPro" w:eastAsia="Times New Roman" w:hAnsi="ACaslonPro" w:cs="Times New Roman"/>
          <w:sz w:val="20"/>
          <w:szCs w:val="20"/>
        </w:rPr>
        <w:br/>
      </w:r>
      <w:r w:rsidRPr="00653E2F">
        <w:rPr>
          <w:rFonts w:ascii="FuturaStd" w:eastAsia="Times New Roman" w:hAnsi="FuturaStd" w:cs="Times New Roman"/>
          <w:b/>
          <w:bCs/>
          <w:color w:val="0000FF"/>
          <w:sz w:val="20"/>
          <w:szCs w:val="20"/>
        </w:rPr>
        <w:t xml:space="preserve">7. </w:t>
      </w:r>
      <w:r w:rsidRPr="00653E2F">
        <w:rPr>
          <w:rFonts w:ascii="ACaslonPro" w:eastAsia="Times New Roman" w:hAnsi="ACaslonPro" w:cs="Times New Roman"/>
          <w:sz w:val="20"/>
          <w:szCs w:val="20"/>
        </w:rPr>
        <w:t xml:space="preserve">Right documentation </w:t>
      </w:r>
      <w:r w:rsidRPr="00653E2F">
        <w:rPr>
          <w:rFonts w:ascii="FuturaStd" w:eastAsia="Times New Roman" w:hAnsi="FuturaStd" w:cs="Times New Roman"/>
          <w:b/>
          <w:bCs/>
          <w:color w:val="0000FF"/>
          <w:sz w:val="20"/>
          <w:szCs w:val="20"/>
        </w:rPr>
        <w:t xml:space="preserve">8. </w:t>
      </w:r>
      <w:r w:rsidRPr="00653E2F">
        <w:rPr>
          <w:rFonts w:ascii="ACaslonPro" w:eastAsia="Times New Roman" w:hAnsi="ACaslonPro" w:cs="Times New Roman"/>
          <w:sz w:val="20"/>
          <w:szCs w:val="20"/>
        </w:rPr>
        <w:t xml:space="preserve">Right form </w:t>
      </w:r>
    </w:p>
    <w:p w14:paraId="7CC06F7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000FF"/>
          <w:sz w:val="20"/>
          <w:szCs w:val="20"/>
        </w:rPr>
        <w:t xml:space="preserve">9. </w:t>
      </w:r>
      <w:r w:rsidRPr="00653E2F">
        <w:rPr>
          <w:rFonts w:ascii="ACaslonPro" w:eastAsia="Times New Roman" w:hAnsi="ACaslonPro" w:cs="Times New Roman"/>
          <w:sz w:val="20"/>
          <w:szCs w:val="20"/>
        </w:rPr>
        <w:t xml:space="preserve">Right response </w:t>
      </w:r>
    </w:p>
    <w:p w14:paraId="7D810A2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Marcos, the nursing student described earlier in this chapter, violated the right-dose principle and therefore made a medication error. </w:t>
      </w:r>
    </w:p>
    <w:p w14:paraId="5A6FB05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FFFFFF"/>
          <w:sz w:val="14"/>
          <w:szCs w:val="14"/>
          <w:shd w:val="clear" w:color="auto" w:fill="0000FF"/>
        </w:rPr>
        <w:t xml:space="preserve">table 3-1 </w:t>
      </w:r>
    </w:p>
    <w:p w14:paraId="09CC032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75E68"/>
          <w:sz w:val="20"/>
          <w:szCs w:val="20"/>
        </w:rPr>
        <w:t xml:space="preserve">Common Causes of Negligence </w:t>
      </w:r>
    </w:p>
    <w:p w14:paraId="72A1759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2"/>
          <w:szCs w:val="22"/>
        </w:rPr>
        <w:t xml:space="preserve">Appropriate Documentation </w:t>
      </w:r>
    </w:p>
    <w:p w14:paraId="3729D35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 adage “not documented, not done” holds true in nursing. According to the law, if something has not been documented, then the responsible party did not do whatever needed to be done. If a nurse did not “do” something, he or she will be left open to negligence or malpractice charges. </w:t>
      </w:r>
    </w:p>
    <w:p w14:paraId="5A9D793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Nursing documentation needs to be legally credible. Legally credible documentation is an accurate accounting of the care the client received. It also indicates the competence of the individual who delivered the care. </w:t>
      </w:r>
    </w:p>
    <w:p w14:paraId="663FE6D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Charting by exception creates defense difficul- ties. When this method of documentation is used, investigators need to review the entire patient record in an attempt to reconstruct the care given to the client. Clear, concise, and accurate docu- mentation helps nurses when they are named in lawsuits. Often, this documentation clears the indi- vidual of any negligence or malpractice. Documen- tation is credible when it is: </w:t>
      </w:r>
    </w:p>
    <w:p w14:paraId="3C87478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b/>
          <w:bCs/>
          <w:sz w:val="20"/>
          <w:szCs w:val="20"/>
        </w:rPr>
        <w:t xml:space="preserve">Contemporaneous </w:t>
      </w:r>
      <w:r w:rsidRPr="00653E2F">
        <w:rPr>
          <w:rFonts w:ascii="ACaslonPro" w:eastAsia="Times New Roman" w:hAnsi="ACaslonPro" w:cs="Times New Roman"/>
          <w:sz w:val="20"/>
          <w:szCs w:val="20"/>
        </w:rPr>
        <w:t xml:space="preserve">(documenting at the time care was provided) </w:t>
      </w:r>
    </w:p>
    <w:p w14:paraId="2CCFF13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b/>
          <w:bCs/>
          <w:sz w:val="20"/>
          <w:szCs w:val="20"/>
        </w:rPr>
        <w:t xml:space="preserve">Accurate </w:t>
      </w:r>
      <w:r w:rsidRPr="00653E2F">
        <w:rPr>
          <w:rFonts w:ascii="ACaslonPro" w:eastAsia="Times New Roman" w:hAnsi="ACaslonPro" w:cs="Times New Roman"/>
          <w:sz w:val="20"/>
          <w:szCs w:val="20"/>
        </w:rPr>
        <w:t xml:space="preserve">(documenting exactly what was done) </w:t>
      </w: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b/>
          <w:bCs/>
          <w:sz w:val="20"/>
          <w:szCs w:val="20"/>
        </w:rPr>
        <w:t xml:space="preserve">Truthful </w:t>
      </w:r>
      <w:r w:rsidRPr="00653E2F">
        <w:rPr>
          <w:rFonts w:ascii="ACaslonPro" w:eastAsia="Times New Roman" w:hAnsi="ACaslonPro" w:cs="Times New Roman"/>
          <w:sz w:val="20"/>
          <w:szCs w:val="20"/>
        </w:rPr>
        <w:t>(documenting only what was done)</w:t>
      </w:r>
      <w:r w:rsidRPr="00653E2F">
        <w:rPr>
          <w:rFonts w:ascii="ACaslonPro" w:eastAsia="Times New Roman" w:hAnsi="ACaslonPro" w:cs="Times New Roman"/>
          <w:sz w:val="20"/>
          <w:szCs w:val="20"/>
        </w:rPr>
        <w:br/>
      </w: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b/>
          <w:bCs/>
          <w:sz w:val="20"/>
          <w:szCs w:val="20"/>
        </w:rPr>
        <w:t xml:space="preserve">Appropriate </w:t>
      </w:r>
      <w:r w:rsidRPr="00653E2F">
        <w:rPr>
          <w:rFonts w:ascii="ACaslonPro" w:eastAsia="Times New Roman" w:hAnsi="ACaslonPro" w:cs="Times New Roman"/>
          <w:sz w:val="20"/>
          <w:szCs w:val="20"/>
        </w:rPr>
        <w:t xml:space="preserve">(documenting only what could be </w:t>
      </w:r>
    </w:p>
    <w:p w14:paraId="4064B4E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discussed comfortably in a public setting) Box 3-2 lists some documentation tips. </w:t>
      </w:r>
    </w:p>
    <w:p w14:paraId="727CBC0F" w14:textId="29DA2FAA"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lastRenderedPageBreak/>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"/var/folders/xx/b74wr1s110v7wd4fcc2vzqx80000gn/T/com.microsoft.Word/WebArchiveCopyPasteTempFiles/page49image44962688"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6E52AF8E" wp14:editId="494CFEDD">
            <wp:extent cx="2181860" cy="135890"/>
            <wp:effectExtent l="0" t="0" r="2540" b="3810"/>
            <wp:docPr id="27" name="Picture 27" descr="page49image44962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age49image4496268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1860" cy="13589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"/var/folders/xx/b74wr1s110v7wd4fcc2vzqx80000gn/T/com.microsoft.Word/WebArchiveCopyPasteTempFiles/page49image38678912"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7525DEFB" wp14:editId="28C3287B">
            <wp:extent cx="461645" cy="2345055"/>
            <wp:effectExtent l="0" t="0" r="0" b="4445"/>
            <wp:docPr id="26" name="Picture 26" descr="page49image38678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age49image386789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1645" cy="2345055"/>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"/var/folders/xx/b74wr1s110v7wd4fcc2vzqx80000gn/T/com.microsoft.Word/WebArchiveCopyPasteTempFiles/page49image38679104"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48E841E3" wp14:editId="4D83E665">
            <wp:extent cx="5414010" cy="2743200"/>
            <wp:effectExtent l="0" t="0" r="0" b="0"/>
            <wp:docPr id="25" name="Picture 25" descr="page49image38679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age49image3867910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1401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364789D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000FF"/>
          <w:sz w:val="16"/>
          <w:szCs w:val="16"/>
        </w:rPr>
        <w:t xml:space="preserve">Problem </w:t>
      </w:r>
    </w:p>
    <w:p w14:paraId="71805A8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Client falls </w:t>
      </w:r>
    </w:p>
    <w:p w14:paraId="641D707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Equipment injuries Failure to monitor </w:t>
      </w:r>
    </w:p>
    <w:p w14:paraId="5871530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Failure to communicate Medication errors </w:t>
      </w:r>
    </w:p>
    <w:p w14:paraId="0E8B622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Identify clients at risk.</w:t>
      </w:r>
      <w:r w:rsidRPr="00653E2F">
        <w:rPr>
          <w:rFonts w:ascii="FuturaStd" w:eastAsia="Times New Roman" w:hAnsi="FuturaStd" w:cs="Times New Roman"/>
          <w:sz w:val="16"/>
          <w:szCs w:val="16"/>
        </w:rPr>
        <w:br/>
        <w:t>Place notices about fall precautions.</w:t>
      </w:r>
      <w:r w:rsidRPr="00653E2F">
        <w:rPr>
          <w:rFonts w:ascii="FuturaStd" w:eastAsia="Times New Roman" w:hAnsi="FuturaStd" w:cs="Times New Roman"/>
          <w:sz w:val="16"/>
          <w:szCs w:val="16"/>
        </w:rPr>
        <w:br/>
        <w:t xml:space="preserve">Follow institutional policies on the use of restraints. Always be sure beds are in their lowest positions. Use side rails appropriately. </w:t>
      </w:r>
    </w:p>
    <w:p w14:paraId="1440480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Check thermostats and temperature in equipment used for heat or cold application. Check wiring on all electrical equipment. </w:t>
      </w:r>
    </w:p>
    <w:p w14:paraId="01173B2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Observe IV infusion sites as directed by institutional policy.</w:t>
      </w:r>
      <w:r w:rsidRPr="00653E2F">
        <w:rPr>
          <w:rFonts w:ascii="FuturaStd" w:eastAsia="Times New Roman" w:hAnsi="FuturaStd" w:cs="Times New Roman"/>
          <w:sz w:val="16"/>
          <w:szCs w:val="16"/>
        </w:rPr>
        <w:br/>
        <w:t xml:space="preserve">Obtain and record vital signs, urinary output, cardiac status, etc., as directed by institutional policy </w:t>
      </w:r>
    </w:p>
    <w:p w14:paraId="734563D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and more often if client condition dictates. Check pertinent laboratory values. </w:t>
      </w:r>
    </w:p>
    <w:p w14:paraId="4814280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lastRenderedPageBreak/>
        <w:t>Report pertinent changes in client status.</w:t>
      </w:r>
      <w:r w:rsidRPr="00653E2F">
        <w:rPr>
          <w:rFonts w:ascii="FuturaStd" w:eastAsia="Times New Roman" w:hAnsi="FuturaStd" w:cs="Times New Roman"/>
          <w:sz w:val="16"/>
          <w:szCs w:val="16"/>
        </w:rPr>
        <w:br/>
        <w:t>Document changes accurately.</w:t>
      </w:r>
      <w:r w:rsidRPr="00653E2F">
        <w:rPr>
          <w:rFonts w:ascii="FuturaStd" w:eastAsia="Times New Roman" w:hAnsi="FuturaStd" w:cs="Times New Roman"/>
          <w:sz w:val="16"/>
          <w:szCs w:val="16"/>
        </w:rPr>
        <w:br/>
        <w:t xml:space="preserve">Document communication with appropriate source. </w:t>
      </w:r>
    </w:p>
    <w:p w14:paraId="4850F37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Follow the Seven Rights.</w:t>
      </w:r>
      <w:r w:rsidRPr="00653E2F">
        <w:rPr>
          <w:rFonts w:ascii="FuturaStd" w:eastAsia="Times New Roman" w:hAnsi="FuturaStd" w:cs="Times New Roman"/>
          <w:sz w:val="16"/>
          <w:szCs w:val="16"/>
        </w:rPr>
        <w:br/>
        <w:t>Monitor client responses.</w:t>
      </w:r>
      <w:r w:rsidRPr="00653E2F">
        <w:rPr>
          <w:rFonts w:ascii="FuturaStd" w:eastAsia="Times New Roman" w:hAnsi="FuturaStd" w:cs="Times New Roman"/>
          <w:sz w:val="16"/>
          <w:szCs w:val="16"/>
        </w:rPr>
        <w:br/>
        <w:t xml:space="preserve">Check client medications for multiple drugs for the same actions. </w:t>
      </w:r>
    </w:p>
    <w:p w14:paraId="6498919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000FF"/>
          <w:sz w:val="16"/>
          <w:szCs w:val="16"/>
        </w:rPr>
        <w:t xml:space="preserve">Prevention </w:t>
      </w:r>
    </w:p>
    <w:p w14:paraId="4C162FA3" w14:textId="2D6759D1"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"/var/folders/xx/b74wr1s110v7wd4fcc2vzqx80000gn/T/com.microsoft.Word/WebArchiveCopyPasteTempFiles/page49image38679296"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1134814D" wp14:editId="76797AC2">
            <wp:extent cx="5395595" cy="2743200"/>
            <wp:effectExtent l="0" t="0" r="1905" b="0"/>
            <wp:docPr id="24" name="Picture 24" descr="page49image38679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age49image3867929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95595"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"/var/folders/xx/b74wr1s110v7wd4fcc2vzqx80000gn/T/com.microsoft.Word/WebArchiveCopyPasteTempFiles/page49image38679488"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265126AA" wp14:editId="1FD4F89F">
            <wp:extent cx="5414010" cy="2743200"/>
            <wp:effectExtent l="0" t="0" r="0" b="0"/>
            <wp:docPr id="23" name="Picture 23" descr="page49image38679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age49image3867948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1401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0A2E5BA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chapter </w:t>
      </w:r>
      <w:r w:rsidRPr="00653E2F">
        <w:rPr>
          <w:rFonts w:ascii="FuturaStd" w:eastAsia="Times New Roman" w:hAnsi="FuturaStd" w:cs="Times New Roman"/>
          <w:sz w:val="20"/>
          <w:szCs w:val="20"/>
        </w:rPr>
        <w:t xml:space="preserve">3 </w:t>
      </w:r>
    </w:p>
    <w:p w14:paraId="2F7DFA0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Nursing Practice and the Law </w:t>
      </w:r>
      <w:r w:rsidRPr="00653E2F">
        <w:rPr>
          <w:rFonts w:ascii="ACaslonPro" w:eastAsia="Times New Roman" w:hAnsi="ACaslonPro" w:cs="Times New Roman"/>
          <w:b/>
          <w:bCs/>
          <w:i/>
          <w:iCs/>
          <w:sz w:val="20"/>
          <w:szCs w:val="20"/>
        </w:rPr>
        <w:t xml:space="preserve">37 </w:t>
      </w:r>
    </w:p>
    <w:p w14:paraId="0EEE4793" w14:textId="33E98821"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"/var/folders/xx/b74wr1s110v7wd4fcc2vzqx80000gn/T/com.microsoft.Word/WebArchiveCopyPasteTempFiles/page50image45022032"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12450A5F" wp14:editId="7D976423">
            <wp:extent cx="2154555" cy="135890"/>
            <wp:effectExtent l="0" t="0" r="4445" b="3810"/>
            <wp:docPr id="22" name="Picture 22" descr="page50image4502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age50image4502203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154555" cy="13589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663C822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FFFFFF"/>
          <w:sz w:val="14"/>
          <w:szCs w:val="14"/>
          <w:shd w:val="clear" w:color="auto" w:fill="A30A00"/>
        </w:rPr>
        <w:t xml:space="preserve">box 3-2 </w:t>
      </w:r>
    </w:p>
    <w:p w14:paraId="3A5920E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A30A00"/>
          <w:sz w:val="20"/>
          <w:szCs w:val="20"/>
        </w:rPr>
        <w:lastRenderedPageBreak/>
        <w:t xml:space="preserve">Some Documentation Guidelines </w:t>
      </w:r>
    </w:p>
    <w:p w14:paraId="084F190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FF0033"/>
          <w:sz w:val="16"/>
          <w:szCs w:val="16"/>
        </w:rPr>
        <w:t xml:space="preserve">Medications </w:t>
      </w:r>
    </w:p>
    <w:p w14:paraId="5D7EF6DB" w14:textId="77777777" w:rsidR="00653E2F" w:rsidRPr="00653E2F" w:rsidRDefault="00653E2F" w:rsidP="00653E2F">
      <w:pPr>
        <w:numPr>
          <w:ilvl w:val="0"/>
          <w:numId w:val="9"/>
        </w:numPr>
        <w:spacing w:before="100" w:beforeAutospacing="1" w:after="100" w:afterAutospacing="1"/>
        <w:rPr>
          <w:rFonts w:ascii="FuturaStd" w:eastAsia="Times New Roman" w:hAnsi="FuturaStd" w:cs="Times New Roman"/>
          <w:sz w:val="16"/>
          <w:szCs w:val="16"/>
        </w:rPr>
      </w:pPr>
      <w:r w:rsidRPr="00653E2F">
        <w:rPr>
          <w:rFonts w:ascii="FuturaStd" w:eastAsia="Times New Roman" w:hAnsi="FuturaStd" w:cs="Times New Roman"/>
          <w:sz w:val="16"/>
          <w:szCs w:val="16"/>
        </w:rPr>
        <w:t xml:space="preserve">Always chart the time, route, dose, and response. </w:t>
      </w:r>
    </w:p>
    <w:p w14:paraId="6AD111F0" w14:textId="77777777" w:rsidR="00653E2F" w:rsidRPr="00653E2F" w:rsidRDefault="00653E2F" w:rsidP="00653E2F">
      <w:pPr>
        <w:numPr>
          <w:ilvl w:val="0"/>
          <w:numId w:val="9"/>
        </w:numPr>
        <w:spacing w:before="100" w:beforeAutospacing="1" w:after="100" w:afterAutospacing="1"/>
        <w:rPr>
          <w:rFonts w:ascii="FuturaStd" w:eastAsia="Times New Roman" w:hAnsi="FuturaStd" w:cs="Times New Roman"/>
          <w:sz w:val="16"/>
          <w:szCs w:val="16"/>
        </w:rPr>
      </w:pPr>
      <w:r w:rsidRPr="00653E2F">
        <w:rPr>
          <w:rFonts w:ascii="FuturaStd" w:eastAsia="Times New Roman" w:hAnsi="FuturaStd" w:cs="Times New Roman"/>
          <w:sz w:val="16"/>
          <w:szCs w:val="16"/>
        </w:rPr>
        <w:t xml:space="preserve">Always chart PRN medications and the client response. </w:t>
      </w:r>
    </w:p>
    <w:p w14:paraId="71AA10FB" w14:textId="77777777" w:rsidR="00653E2F" w:rsidRPr="00653E2F" w:rsidRDefault="00653E2F" w:rsidP="00653E2F">
      <w:pPr>
        <w:numPr>
          <w:ilvl w:val="0"/>
          <w:numId w:val="9"/>
        </w:numPr>
        <w:spacing w:before="100" w:beforeAutospacing="1" w:after="100" w:afterAutospacing="1"/>
        <w:rPr>
          <w:rFonts w:ascii="FuturaStd" w:eastAsia="Times New Roman" w:hAnsi="FuturaStd" w:cs="Times New Roman"/>
          <w:sz w:val="16"/>
          <w:szCs w:val="16"/>
        </w:rPr>
      </w:pPr>
      <w:r w:rsidRPr="00653E2F">
        <w:rPr>
          <w:rFonts w:ascii="FuturaStd" w:eastAsia="Times New Roman" w:hAnsi="FuturaStd" w:cs="Times New Roman"/>
          <w:sz w:val="16"/>
          <w:szCs w:val="16"/>
        </w:rPr>
        <w:t xml:space="preserve">Always chart when a medication was not given, the reason (e.g., client in Radiology, Physical Therapy; do not chart that </w:t>
      </w:r>
    </w:p>
    <w:p w14:paraId="245A637F" w14:textId="77777777" w:rsidR="00653E2F" w:rsidRPr="00653E2F" w:rsidRDefault="00653E2F" w:rsidP="00653E2F">
      <w:pPr>
        <w:spacing w:before="100" w:beforeAutospacing="1" w:after="100" w:afterAutospacing="1"/>
        <w:ind w:left="720"/>
        <w:rPr>
          <w:rFonts w:ascii="FuturaStd" w:eastAsia="Times New Roman" w:hAnsi="FuturaStd" w:cs="Times New Roman"/>
          <w:sz w:val="16"/>
          <w:szCs w:val="16"/>
        </w:rPr>
      </w:pPr>
      <w:r w:rsidRPr="00653E2F">
        <w:rPr>
          <w:rFonts w:ascii="FuturaStd" w:eastAsia="Times New Roman" w:hAnsi="FuturaStd" w:cs="Times New Roman"/>
          <w:sz w:val="16"/>
          <w:szCs w:val="16"/>
        </w:rPr>
        <w:t xml:space="preserve">the medication was not on the floor), and the nursing intervention. </w:t>
      </w:r>
    </w:p>
    <w:p w14:paraId="3AA7D1C9" w14:textId="77777777" w:rsidR="00653E2F" w:rsidRPr="00653E2F" w:rsidRDefault="00653E2F" w:rsidP="00653E2F">
      <w:pPr>
        <w:numPr>
          <w:ilvl w:val="0"/>
          <w:numId w:val="9"/>
        </w:numPr>
        <w:spacing w:before="100" w:beforeAutospacing="1" w:after="100" w:afterAutospacing="1"/>
        <w:rPr>
          <w:rFonts w:ascii="FuturaStd" w:eastAsia="Times New Roman" w:hAnsi="FuturaStd" w:cs="Times New Roman"/>
          <w:sz w:val="16"/>
          <w:szCs w:val="16"/>
        </w:rPr>
      </w:pPr>
      <w:r w:rsidRPr="00653E2F">
        <w:rPr>
          <w:rFonts w:ascii="FuturaStd" w:eastAsia="Times New Roman" w:hAnsi="FuturaStd" w:cs="Times New Roman"/>
          <w:sz w:val="16"/>
          <w:szCs w:val="16"/>
        </w:rPr>
        <w:t xml:space="preserve">Chart all medication refusals, and report them. </w:t>
      </w:r>
      <w:r w:rsidRPr="00653E2F">
        <w:rPr>
          <w:rFonts w:ascii="FuturaStd" w:eastAsia="Times New Roman" w:hAnsi="FuturaStd" w:cs="Times New Roman"/>
          <w:b/>
          <w:bCs/>
          <w:color w:val="FF0033"/>
          <w:sz w:val="16"/>
          <w:szCs w:val="16"/>
        </w:rPr>
        <w:t xml:space="preserve">Physician Communication </w:t>
      </w:r>
    </w:p>
    <w:p w14:paraId="5327CCE8" w14:textId="77777777" w:rsidR="00653E2F" w:rsidRPr="00653E2F" w:rsidRDefault="00653E2F" w:rsidP="00653E2F">
      <w:pPr>
        <w:numPr>
          <w:ilvl w:val="0"/>
          <w:numId w:val="10"/>
        </w:numPr>
        <w:spacing w:before="100" w:beforeAutospacing="1" w:after="100" w:afterAutospacing="1"/>
        <w:rPr>
          <w:rFonts w:ascii="FuturaStd" w:eastAsia="Times New Roman" w:hAnsi="FuturaStd" w:cs="Times New Roman"/>
          <w:sz w:val="16"/>
          <w:szCs w:val="16"/>
        </w:rPr>
      </w:pPr>
      <w:r w:rsidRPr="00653E2F">
        <w:rPr>
          <w:rFonts w:ascii="FuturaStd" w:eastAsia="Times New Roman" w:hAnsi="FuturaStd" w:cs="Times New Roman"/>
          <w:sz w:val="16"/>
          <w:szCs w:val="16"/>
        </w:rPr>
        <w:t xml:space="preserve">Document each time a call is made to a physician, even if he or she is not reached. Include the exact time of the call. If </w:t>
      </w:r>
    </w:p>
    <w:p w14:paraId="38ECC5A9" w14:textId="77777777" w:rsidR="00653E2F" w:rsidRPr="00653E2F" w:rsidRDefault="00653E2F" w:rsidP="00653E2F">
      <w:pPr>
        <w:spacing w:before="100" w:beforeAutospacing="1" w:after="100" w:afterAutospacing="1"/>
        <w:ind w:left="720"/>
        <w:rPr>
          <w:rFonts w:ascii="FuturaStd" w:eastAsia="Times New Roman" w:hAnsi="FuturaStd" w:cs="Times New Roman"/>
          <w:sz w:val="16"/>
          <w:szCs w:val="16"/>
        </w:rPr>
      </w:pPr>
      <w:r w:rsidRPr="00653E2F">
        <w:rPr>
          <w:rFonts w:ascii="FuturaStd" w:eastAsia="Times New Roman" w:hAnsi="FuturaStd" w:cs="Times New Roman"/>
          <w:sz w:val="16"/>
          <w:szCs w:val="16"/>
        </w:rPr>
        <w:t xml:space="preserve">the physician is reached, document the details of the message and the physician’s response. </w:t>
      </w:r>
    </w:p>
    <w:p w14:paraId="6E67B504" w14:textId="77777777" w:rsidR="00653E2F" w:rsidRPr="00653E2F" w:rsidRDefault="00653E2F" w:rsidP="00653E2F">
      <w:pPr>
        <w:numPr>
          <w:ilvl w:val="0"/>
          <w:numId w:val="10"/>
        </w:numPr>
        <w:spacing w:before="100" w:beforeAutospacing="1" w:after="100" w:afterAutospacing="1"/>
        <w:rPr>
          <w:rFonts w:ascii="FuturaStd" w:eastAsia="Times New Roman" w:hAnsi="FuturaStd" w:cs="Times New Roman"/>
          <w:sz w:val="16"/>
          <w:szCs w:val="16"/>
        </w:rPr>
      </w:pPr>
      <w:r w:rsidRPr="00653E2F">
        <w:rPr>
          <w:rFonts w:ascii="FuturaStd" w:eastAsia="Times New Roman" w:hAnsi="FuturaStd" w:cs="Times New Roman"/>
          <w:sz w:val="16"/>
          <w:szCs w:val="16"/>
        </w:rPr>
        <w:t xml:space="preserve">Read verbal orders back to the physician, and confirm the client’s identity as written on the chart. Chart only verbal </w:t>
      </w:r>
    </w:p>
    <w:p w14:paraId="1B984561" w14:textId="77777777" w:rsidR="00653E2F" w:rsidRPr="00653E2F" w:rsidRDefault="00653E2F" w:rsidP="00653E2F">
      <w:pPr>
        <w:spacing w:before="100" w:beforeAutospacing="1" w:after="100" w:afterAutospacing="1"/>
        <w:ind w:left="720"/>
        <w:rPr>
          <w:rFonts w:ascii="FuturaStd" w:eastAsia="Times New Roman" w:hAnsi="FuturaStd" w:cs="Times New Roman"/>
          <w:sz w:val="16"/>
          <w:szCs w:val="16"/>
        </w:rPr>
      </w:pPr>
      <w:r w:rsidRPr="00653E2F">
        <w:rPr>
          <w:rFonts w:ascii="FuturaStd" w:eastAsia="Times New Roman" w:hAnsi="FuturaStd" w:cs="Times New Roman"/>
          <w:sz w:val="16"/>
          <w:szCs w:val="16"/>
        </w:rPr>
        <w:t xml:space="preserve">orders that you have heard from the source, not those told to you by another nurse or unit personnel. </w:t>
      </w:r>
    </w:p>
    <w:p w14:paraId="3BAA5582" w14:textId="77777777" w:rsidR="00653E2F" w:rsidRPr="00653E2F" w:rsidRDefault="00653E2F" w:rsidP="00653E2F">
      <w:pPr>
        <w:spacing w:before="100" w:beforeAutospacing="1" w:after="100" w:afterAutospacing="1"/>
        <w:ind w:left="720"/>
        <w:rPr>
          <w:rFonts w:ascii="FuturaStd" w:eastAsia="Times New Roman" w:hAnsi="FuturaStd" w:cs="Times New Roman"/>
          <w:sz w:val="16"/>
          <w:szCs w:val="16"/>
        </w:rPr>
      </w:pPr>
      <w:r w:rsidRPr="00653E2F">
        <w:rPr>
          <w:rFonts w:ascii="FuturaStd" w:eastAsia="Times New Roman" w:hAnsi="FuturaStd" w:cs="Times New Roman"/>
          <w:b/>
          <w:bCs/>
          <w:color w:val="FF0033"/>
          <w:sz w:val="16"/>
          <w:szCs w:val="16"/>
        </w:rPr>
        <w:t xml:space="preserve">Formal Issues in Charting </w:t>
      </w:r>
    </w:p>
    <w:p w14:paraId="109F29B5" w14:textId="77777777" w:rsidR="00653E2F" w:rsidRPr="00653E2F" w:rsidRDefault="00653E2F" w:rsidP="00653E2F">
      <w:pPr>
        <w:numPr>
          <w:ilvl w:val="0"/>
          <w:numId w:val="11"/>
        </w:numPr>
        <w:spacing w:before="100" w:beforeAutospacing="1" w:after="100" w:afterAutospacing="1"/>
        <w:rPr>
          <w:rFonts w:ascii="FuturaStd" w:eastAsia="Times New Roman" w:hAnsi="FuturaStd" w:cs="Times New Roman"/>
          <w:sz w:val="16"/>
          <w:szCs w:val="16"/>
        </w:rPr>
      </w:pPr>
      <w:r w:rsidRPr="00653E2F">
        <w:rPr>
          <w:rFonts w:ascii="FuturaStd" w:eastAsia="Times New Roman" w:hAnsi="FuturaStd" w:cs="Times New Roman"/>
          <w:sz w:val="16"/>
          <w:szCs w:val="16"/>
        </w:rPr>
        <w:t xml:space="preserve">Before writing on the chart, check to be sure you have the correct patient record. </w:t>
      </w:r>
    </w:p>
    <w:p w14:paraId="450FB130" w14:textId="77777777" w:rsidR="00653E2F" w:rsidRPr="00653E2F" w:rsidRDefault="00653E2F" w:rsidP="00653E2F">
      <w:pPr>
        <w:numPr>
          <w:ilvl w:val="0"/>
          <w:numId w:val="11"/>
        </w:numPr>
        <w:spacing w:before="100" w:beforeAutospacing="1" w:after="100" w:afterAutospacing="1"/>
        <w:rPr>
          <w:rFonts w:ascii="FuturaStd" w:eastAsia="Times New Roman" w:hAnsi="FuturaStd" w:cs="Times New Roman"/>
          <w:sz w:val="16"/>
          <w:szCs w:val="16"/>
        </w:rPr>
      </w:pPr>
      <w:r w:rsidRPr="00653E2F">
        <w:rPr>
          <w:rFonts w:ascii="FuturaStd" w:eastAsia="Times New Roman" w:hAnsi="FuturaStd" w:cs="Times New Roman"/>
          <w:sz w:val="16"/>
          <w:szCs w:val="16"/>
        </w:rPr>
        <w:t xml:space="preserve">Check to make sure each page has the client’s name and the current date stamped in the appropriate area. </w:t>
      </w:r>
    </w:p>
    <w:p w14:paraId="060D4D44" w14:textId="77777777" w:rsidR="00653E2F" w:rsidRPr="00653E2F" w:rsidRDefault="00653E2F" w:rsidP="00653E2F">
      <w:pPr>
        <w:numPr>
          <w:ilvl w:val="0"/>
          <w:numId w:val="11"/>
        </w:numPr>
        <w:spacing w:before="100" w:beforeAutospacing="1" w:after="100" w:afterAutospacing="1"/>
        <w:rPr>
          <w:rFonts w:ascii="FuturaStd" w:eastAsia="Times New Roman" w:hAnsi="FuturaStd" w:cs="Times New Roman"/>
          <w:sz w:val="16"/>
          <w:szCs w:val="16"/>
        </w:rPr>
      </w:pPr>
      <w:r w:rsidRPr="00653E2F">
        <w:rPr>
          <w:rFonts w:ascii="FuturaStd" w:eastAsia="Times New Roman" w:hAnsi="FuturaStd" w:cs="Times New Roman"/>
          <w:sz w:val="16"/>
          <w:szCs w:val="16"/>
        </w:rPr>
        <w:t xml:space="preserve">If you forgot to make an entry, chart “late entry,” and place the date and time at the entry. </w:t>
      </w:r>
    </w:p>
    <w:p w14:paraId="4759E07A" w14:textId="77777777" w:rsidR="00653E2F" w:rsidRPr="00653E2F" w:rsidRDefault="00653E2F" w:rsidP="00653E2F">
      <w:pPr>
        <w:numPr>
          <w:ilvl w:val="0"/>
          <w:numId w:val="11"/>
        </w:numPr>
        <w:spacing w:before="100" w:beforeAutospacing="1" w:after="100" w:afterAutospacing="1"/>
        <w:rPr>
          <w:rFonts w:ascii="FuturaStd" w:eastAsia="Times New Roman" w:hAnsi="FuturaStd" w:cs="Times New Roman"/>
          <w:sz w:val="16"/>
          <w:szCs w:val="16"/>
        </w:rPr>
      </w:pPr>
      <w:r w:rsidRPr="00653E2F">
        <w:rPr>
          <w:rFonts w:ascii="FuturaStd" w:eastAsia="Times New Roman" w:hAnsi="FuturaStd" w:cs="Times New Roman"/>
          <w:sz w:val="16"/>
          <w:szCs w:val="16"/>
        </w:rPr>
        <w:t xml:space="preserve">Correct all charting mistakes according to the policy and procedures of your institution. </w:t>
      </w:r>
    </w:p>
    <w:p w14:paraId="5E0579B1" w14:textId="77777777" w:rsidR="00653E2F" w:rsidRPr="00653E2F" w:rsidRDefault="00653E2F" w:rsidP="00653E2F">
      <w:pPr>
        <w:numPr>
          <w:ilvl w:val="0"/>
          <w:numId w:val="11"/>
        </w:numPr>
        <w:spacing w:before="100" w:beforeAutospacing="1" w:after="100" w:afterAutospacing="1"/>
        <w:rPr>
          <w:rFonts w:ascii="FuturaStd" w:eastAsia="Times New Roman" w:hAnsi="FuturaStd" w:cs="Times New Roman"/>
          <w:sz w:val="16"/>
          <w:szCs w:val="16"/>
        </w:rPr>
      </w:pPr>
      <w:r w:rsidRPr="00653E2F">
        <w:rPr>
          <w:rFonts w:ascii="FuturaStd" w:eastAsia="Times New Roman" w:hAnsi="FuturaStd" w:cs="Times New Roman"/>
          <w:sz w:val="16"/>
          <w:szCs w:val="16"/>
        </w:rPr>
        <w:t xml:space="preserve">Chart in an organized fashion, following the nursing process. </w:t>
      </w:r>
    </w:p>
    <w:p w14:paraId="131A5F2F" w14:textId="77777777" w:rsidR="00653E2F" w:rsidRPr="00653E2F" w:rsidRDefault="00653E2F" w:rsidP="00653E2F">
      <w:pPr>
        <w:numPr>
          <w:ilvl w:val="0"/>
          <w:numId w:val="11"/>
        </w:numPr>
        <w:spacing w:before="100" w:beforeAutospacing="1" w:after="100" w:afterAutospacing="1"/>
        <w:rPr>
          <w:rFonts w:ascii="FuturaStd" w:eastAsia="Times New Roman" w:hAnsi="FuturaStd" w:cs="Times New Roman"/>
          <w:sz w:val="16"/>
          <w:szCs w:val="16"/>
        </w:rPr>
      </w:pPr>
      <w:r w:rsidRPr="00653E2F">
        <w:rPr>
          <w:rFonts w:ascii="FuturaStd" w:eastAsia="Times New Roman" w:hAnsi="FuturaStd" w:cs="Times New Roman"/>
          <w:sz w:val="16"/>
          <w:szCs w:val="16"/>
        </w:rPr>
        <w:t xml:space="preserve">Write legibly and concisely, and avoid subjective statements. </w:t>
      </w:r>
    </w:p>
    <w:p w14:paraId="75C2466B" w14:textId="77777777" w:rsidR="00653E2F" w:rsidRPr="00653E2F" w:rsidRDefault="00653E2F" w:rsidP="00653E2F">
      <w:pPr>
        <w:numPr>
          <w:ilvl w:val="0"/>
          <w:numId w:val="11"/>
        </w:numPr>
        <w:spacing w:before="100" w:beforeAutospacing="1" w:after="100" w:afterAutospacing="1"/>
        <w:rPr>
          <w:rFonts w:ascii="FuturaStd" w:eastAsia="Times New Roman" w:hAnsi="FuturaStd" w:cs="Times New Roman"/>
          <w:sz w:val="16"/>
          <w:szCs w:val="16"/>
        </w:rPr>
      </w:pPr>
      <w:r w:rsidRPr="00653E2F">
        <w:rPr>
          <w:rFonts w:ascii="FuturaStd" w:eastAsia="Times New Roman" w:hAnsi="FuturaStd" w:cs="Times New Roman"/>
          <w:sz w:val="16"/>
          <w:szCs w:val="16"/>
        </w:rPr>
        <w:t xml:space="preserve">Write specific and accurate descriptions. </w:t>
      </w:r>
    </w:p>
    <w:p w14:paraId="3914677D" w14:textId="77777777" w:rsidR="00653E2F" w:rsidRPr="00653E2F" w:rsidRDefault="00653E2F" w:rsidP="00653E2F">
      <w:pPr>
        <w:numPr>
          <w:ilvl w:val="0"/>
          <w:numId w:val="11"/>
        </w:numPr>
        <w:spacing w:before="100" w:beforeAutospacing="1" w:after="100" w:afterAutospacing="1"/>
        <w:rPr>
          <w:rFonts w:ascii="FuturaStd" w:eastAsia="Times New Roman" w:hAnsi="FuturaStd" w:cs="Times New Roman"/>
          <w:sz w:val="16"/>
          <w:szCs w:val="16"/>
        </w:rPr>
      </w:pPr>
      <w:r w:rsidRPr="00653E2F">
        <w:rPr>
          <w:rFonts w:ascii="FuturaStd" w:eastAsia="Times New Roman" w:hAnsi="FuturaStd" w:cs="Times New Roman"/>
          <w:sz w:val="16"/>
          <w:szCs w:val="16"/>
        </w:rPr>
        <w:t xml:space="preserve">When charting a symptom or situation, chart the interventions taken and the client response. </w:t>
      </w:r>
    </w:p>
    <w:p w14:paraId="5ED3008C" w14:textId="77777777" w:rsidR="00653E2F" w:rsidRPr="00653E2F" w:rsidRDefault="00653E2F" w:rsidP="00653E2F">
      <w:pPr>
        <w:numPr>
          <w:ilvl w:val="0"/>
          <w:numId w:val="11"/>
        </w:numPr>
        <w:spacing w:before="100" w:beforeAutospacing="1" w:after="100" w:afterAutospacing="1"/>
        <w:rPr>
          <w:rFonts w:ascii="FuturaStd" w:eastAsia="Times New Roman" w:hAnsi="FuturaStd" w:cs="Times New Roman"/>
          <w:sz w:val="16"/>
          <w:szCs w:val="16"/>
        </w:rPr>
      </w:pPr>
      <w:r w:rsidRPr="00653E2F">
        <w:rPr>
          <w:rFonts w:ascii="FuturaStd" w:eastAsia="Times New Roman" w:hAnsi="FuturaStd" w:cs="Times New Roman"/>
          <w:sz w:val="16"/>
          <w:szCs w:val="16"/>
        </w:rPr>
        <w:t xml:space="preserve">Document your own observations, not those that were told to you by another party. </w:t>
      </w:r>
    </w:p>
    <w:p w14:paraId="5FC8E867" w14:textId="77777777" w:rsidR="00653E2F" w:rsidRPr="00653E2F" w:rsidRDefault="00653E2F" w:rsidP="00653E2F">
      <w:pPr>
        <w:numPr>
          <w:ilvl w:val="0"/>
          <w:numId w:val="11"/>
        </w:numPr>
        <w:spacing w:before="100" w:beforeAutospacing="1" w:after="100" w:afterAutospacing="1"/>
        <w:rPr>
          <w:rFonts w:ascii="FuturaStd" w:eastAsia="Times New Roman" w:hAnsi="FuturaStd" w:cs="Times New Roman"/>
          <w:sz w:val="16"/>
          <w:szCs w:val="16"/>
        </w:rPr>
      </w:pPr>
      <w:r w:rsidRPr="00653E2F">
        <w:rPr>
          <w:rFonts w:ascii="FuturaStd" w:eastAsia="Times New Roman" w:hAnsi="FuturaStd" w:cs="Times New Roman"/>
          <w:sz w:val="16"/>
          <w:szCs w:val="16"/>
        </w:rPr>
        <w:t xml:space="preserve">Chart frequently to demonstrate ongoing care, and chart routine activities. </w:t>
      </w:r>
    </w:p>
    <w:p w14:paraId="3988A6B0" w14:textId="77777777" w:rsidR="00653E2F" w:rsidRPr="00653E2F" w:rsidRDefault="00653E2F" w:rsidP="00653E2F">
      <w:pPr>
        <w:numPr>
          <w:ilvl w:val="0"/>
          <w:numId w:val="11"/>
        </w:numPr>
        <w:spacing w:before="100" w:beforeAutospacing="1" w:after="100" w:afterAutospacing="1"/>
        <w:rPr>
          <w:rFonts w:ascii="FuturaStd" w:eastAsia="Times New Roman" w:hAnsi="FuturaStd" w:cs="Times New Roman"/>
          <w:sz w:val="16"/>
          <w:szCs w:val="16"/>
        </w:rPr>
      </w:pPr>
      <w:r w:rsidRPr="00653E2F">
        <w:rPr>
          <w:rFonts w:ascii="FuturaStd" w:eastAsia="Times New Roman" w:hAnsi="FuturaStd" w:cs="Times New Roman"/>
          <w:sz w:val="16"/>
          <w:szCs w:val="16"/>
        </w:rPr>
        <w:t xml:space="preserve">Chart client and family teaching and their response. </w:t>
      </w:r>
    </w:p>
    <w:p w14:paraId="4A6F7DA9" w14:textId="25879FA2"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lastRenderedPageBreak/>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"/var/folders/xx/b74wr1s110v7wd4fcc2vzqx80000gn/T/com.microsoft.Word/WebArchiveCopyPasteTempFiles/page50image38636352"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7DABA457" wp14:editId="2755E6E5">
            <wp:extent cx="461645" cy="2688590"/>
            <wp:effectExtent l="0" t="0" r="0" b="3810"/>
            <wp:docPr id="21" name="Picture 21" descr="page50image38636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age50image3863635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1645" cy="268859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"/var/folders/xx/b74wr1s110v7wd4fcc2vzqx80000gn/T/com.microsoft.Word/WebArchiveCopyPasteTempFiles/page50image38636160"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3CCCA8E6" wp14:editId="4B977DB2">
            <wp:extent cx="5414010" cy="2743200"/>
            <wp:effectExtent l="0" t="0" r="0" b="0"/>
            <wp:docPr id="20" name="Picture 20" descr="page50image38636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age50image3863616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1401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"/var/folders/xx/b74wr1s110v7wd4fcc2vzqx80000gn/T/com.microsoft.Word/WebArchiveCopyPasteTempFiles/page50image38637312"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12784CCF" wp14:editId="44E4B482">
            <wp:extent cx="5414010" cy="18415"/>
            <wp:effectExtent l="0" t="0" r="0" b="0"/>
            <wp:docPr id="19" name="Picture 19" descr="page50image38637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age50image386373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14010" cy="18415"/>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3234A06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It is not good practice to sign off on medications for all patients for a shift before the medications are administered. Doing so is considered a fraudu- lent act and may leave a nurse open to charges of negligence in the form of a medication error if the medications are then not administered as docu- mented. If injury occurs because the patient never received a medication, and the nurse documented that the patient received it, the nurse can be charged with criminal negligence. </w:t>
      </w:r>
    </w:p>
    <w:p w14:paraId="27FB3BE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Nursing units are busy and often understaffed. These realities exist but should not be allowed to interfere with the safe delivery of health care. Clients have a right to safe and effective health care, and nurses have an obligation to deliver this care. </w:t>
      </w:r>
    </w:p>
    <w:p w14:paraId="6C350F1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Common Actions Leading to Malpractice Suits </w:t>
      </w:r>
    </w:p>
    <w:p w14:paraId="4A91A659" w14:textId="77777777" w:rsidR="00653E2F" w:rsidRPr="00653E2F" w:rsidRDefault="00653E2F" w:rsidP="00653E2F">
      <w:pPr>
        <w:numPr>
          <w:ilvl w:val="0"/>
          <w:numId w:val="12"/>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Failure to assess a client appropriately </w:t>
      </w:r>
    </w:p>
    <w:p w14:paraId="50A783DD" w14:textId="77777777" w:rsidR="00653E2F" w:rsidRPr="00653E2F" w:rsidRDefault="00653E2F" w:rsidP="00653E2F">
      <w:pPr>
        <w:numPr>
          <w:ilvl w:val="0"/>
          <w:numId w:val="12"/>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Failure to report changes in client status to the </w:t>
      </w:r>
    </w:p>
    <w:p w14:paraId="457AA5D4"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appropriate personnel </w:t>
      </w:r>
    </w:p>
    <w:p w14:paraId="0D38891D" w14:textId="77777777" w:rsidR="00653E2F" w:rsidRPr="00653E2F" w:rsidRDefault="00653E2F" w:rsidP="00653E2F">
      <w:pPr>
        <w:numPr>
          <w:ilvl w:val="0"/>
          <w:numId w:val="12"/>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Failure to document in the patient record </w:t>
      </w:r>
    </w:p>
    <w:p w14:paraId="4CF0E1DF" w14:textId="77777777" w:rsidR="00653E2F" w:rsidRPr="00653E2F" w:rsidRDefault="00653E2F" w:rsidP="00653E2F">
      <w:pPr>
        <w:numPr>
          <w:ilvl w:val="0"/>
          <w:numId w:val="12"/>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Altering or falsifying a patient record </w:t>
      </w:r>
    </w:p>
    <w:p w14:paraId="5015F4AA" w14:textId="77777777" w:rsidR="00653E2F" w:rsidRPr="00653E2F" w:rsidRDefault="00653E2F" w:rsidP="00653E2F">
      <w:pPr>
        <w:numPr>
          <w:ilvl w:val="0"/>
          <w:numId w:val="12"/>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Failure to obtain informed consent </w:t>
      </w:r>
    </w:p>
    <w:p w14:paraId="7557F0A0" w14:textId="77777777" w:rsidR="00653E2F" w:rsidRPr="00653E2F" w:rsidRDefault="00653E2F" w:rsidP="00653E2F">
      <w:pPr>
        <w:numPr>
          <w:ilvl w:val="0"/>
          <w:numId w:val="12"/>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Failure to report a coworker’s negligence or </w:t>
      </w:r>
    </w:p>
    <w:p w14:paraId="49B72648"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poor practice </w:t>
      </w:r>
    </w:p>
    <w:p w14:paraId="12447140" w14:textId="77777777" w:rsidR="00653E2F" w:rsidRPr="00653E2F" w:rsidRDefault="00653E2F" w:rsidP="00653E2F">
      <w:pPr>
        <w:numPr>
          <w:ilvl w:val="0"/>
          <w:numId w:val="12"/>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Failure to provide appropriate education to a </w:t>
      </w:r>
    </w:p>
    <w:p w14:paraId="66B9569A"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client and/or family members </w:t>
      </w:r>
    </w:p>
    <w:p w14:paraId="6F3C2E2E" w14:textId="77777777" w:rsidR="00653E2F" w:rsidRPr="00653E2F" w:rsidRDefault="00653E2F" w:rsidP="00653E2F">
      <w:pPr>
        <w:numPr>
          <w:ilvl w:val="0"/>
          <w:numId w:val="12"/>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Violation of internal or external standards of </w:t>
      </w:r>
    </w:p>
    <w:p w14:paraId="72C48B8D"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practice </w:t>
      </w:r>
    </w:p>
    <w:p w14:paraId="792A8F5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lastRenderedPageBreak/>
        <w:t xml:space="preserve">In the case </w:t>
      </w:r>
      <w:r w:rsidRPr="00653E2F">
        <w:rPr>
          <w:rFonts w:ascii="ACaslonPro" w:eastAsia="Times New Roman" w:hAnsi="ACaslonPro" w:cs="Times New Roman"/>
          <w:i/>
          <w:iCs/>
          <w:sz w:val="20"/>
          <w:szCs w:val="20"/>
        </w:rPr>
        <w:t xml:space="preserve">Tovar v. Methodist Healthcare </w:t>
      </w:r>
      <w:r w:rsidRPr="00653E2F">
        <w:rPr>
          <w:rFonts w:ascii="ACaslonPro" w:eastAsia="Times New Roman" w:hAnsi="ACaslonPro" w:cs="Times New Roman"/>
          <w:sz w:val="20"/>
          <w:szCs w:val="20"/>
        </w:rPr>
        <w:t xml:space="preserve">(2005), a 75-year-old female client came to the emergency department complaining of a headache and weak- ness in the right arm. Although an order for admis- sion to the neurological care unit was written, the client was not transported until 3 hours later. After the client was in the unit, the nurses called one physician regarding the client’s status. Another physician returned the call 90 minutes later. Three hours later, the nurses called to report a change in the client’s neurological status. A STAT computed tomography scan was ordered, which revealed a massive brain hemorrhage. The nurses were cited for the following: </w:t>
      </w:r>
    </w:p>
    <w:p w14:paraId="70C9E4D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000FF"/>
          <w:sz w:val="20"/>
          <w:szCs w:val="20"/>
        </w:rPr>
        <w:t xml:space="preserve">1. </w:t>
      </w:r>
      <w:r w:rsidRPr="00653E2F">
        <w:rPr>
          <w:rFonts w:ascii="ACaslonPro" w:eastAsia="Times New Roman" w:hAnsi="ACaslonPro" w:cs="Times New Roman"/>
          <w:sz w:val="20"/>
          <w:szCs w:val="20"/>
        </w:rPr>
        <w:t xml:space="preserve">Delay in transferring the client to the neurological unit </w:t>
      </w:r>
    </w:p>
    <w:p w14:paraId="0C5C8C5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000FF"/>
          <w:sz w:val="20"/>
          <w:szCs w:val="20"/>
        </w:rPr>
        <w:t xml:space="preserve">2. </w:t>
      </w:r>
      <w:r w:rsidRPr="00653E2F">
        <w:rPr>
          <w:rFonts w:ascii="ACaslonPro" w:eastAsia="Times New Roman" w:hAnsi="ACaslonPro" w:cs="Times New Roman"/>
          <w:sz w:val="20"/>
          <w:szCs w:val="20"/>
        </w:rPr>
        <w:t xml:space="preserve">Failure to advocate for the client </w:t>
      </w:r>
    </w:p>
    <w:p w14:paraId="5580615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 client presented with an acute neurological problem requiring admission to an intensive care unit where appropriate observation and interven- tions were available. A delay in transfer may lead to delay in appropriate treatment. According to the American Association of Neuroscience Nursing standards of practice (2012), nurses need to accu- rately assess the client’s changing neurological status and advocate for the client. In this instance, the court stated that the nurses should have been </w:t>
      </w:r>
    </w:p>
    <w:p w14:paraId="3922EC8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0"/>
          <w:szCs w:val="20"/>
        </w:rPr>
        <w:t xml:space="preserve">38 </w:t>
      </w:r>
      <w:r w:rsidRPr="00653E2F">
        <w:rPr>
          <w:rFonts w:ascii="FuturaStd" w:eastAsia="Times New Roman" w:hAnsi="FuturaStd" w:cs="Times New Roman"/>
          <w:sz w:val="16"/>
          <w:szCs w:val="16"/>
        </w:rPr>
        <w:t xml:space="preserve">unit </w:t>
      </w:r>
      <w:r w:rsidRPr="00653E2F">
        <w:rPr>
          <w:rFonts w:ascii="FuturaStd" w:eastAsia="Times New Roman" w:hAnsi="FuturaStd" w:cs="Times New Roman"/>
          <w:sz w:val="20"/>
          <w:szCs w:val="20"/>
        </w:rPr>
        <w:t xml:space="preserve">1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Professional Considerations </w:t>
      </w:r>
    </w:p>
    <w:p w14:paraId="0BD880B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more assertive in attempting to reach the physician and request a prompt medical evaluation. The court sided with the family, agreeing with the plaintiff ’s medical expert’s conclusion that the client’s death was related to improper management by the nursing staff. </w:t>
      </w:r>
    </w:p>
    <w:p w14:paraId="0BCE8A2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If a Problem Arises </w:t>
      </w:r>
    </w:p>
    <w:p w14:paraId="0D96D15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When served with a summons or complaint, people often panic, allowing fear to overcome reason. </w:t>
      </w:r>
    </w:p>
    <w:p w14:paraId="6DE8A70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First, simply answer the complaint. Failure to do this may result in a default judgment, causing greater distress and difficulties. </w:t>
      </w:r>
    </w:p>
    <w:p w14:paraId="115D986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Second, many things can be done to protect oneself if named in a lawsuit. Legal representation can be obtained to protect personal property. Never sign any documents without consulting the mal- practice insurance carrier or a legal representative. If you are personally covered by malpractice insur- ance, notify the company immediately and follow its instructions carefully. </w:t>
      </w:r>
    </w:p>
    <w:p w14:paraId="4EABA86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Institutions usually have lawyers to defend themselves and their employees. Whether or not you are personally insured, contact the legal depart- ment of the institution where the act took place. Maintain a file of all papers, proceedings, meetings, and telephone conversations about the case. Do not withhold any information from your attorneys, even if that information can be harmful to you. A pending or ongoing legal case should not be dis- cussed with coworkers or friends. </w:t>
      </w:r>
    </w:p>
    <w:p w14:paraId="2A68C8E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Let the attorneys and the insurance company help decide how to handle the difficult situation. They are in charge of damage control. Concealing information usually causes more damage than dis- closing it. </w:t>
      </w:r>
    </w:p>
    <w:p w14:paraId="10F0B41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Sometimes, nurses believe they are not being adequately protected or represented by the attor- neys from their employing institution. If this happens, consider hiring a personal attorney who is experienced in malpractice law. This information can be obtained through either the state bar asso- ciation or the local trial lawyers association. </w:t>
      </w:r>
    </w:p>
    <w:p w14:paraId="7D3AA71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lastRenderedPageBreak/>
        <w:t xml:space="preserve">Anyone has the right to sue; however, that does not mean that there is a case. Many negligence and malpractice cases find in favor of the health-care providers, not the client or the client’s family. The following case demonstrates this situation: </w:t>
      </w:r>
    </w:p>
    <w:p w14:paraId="4E28B5B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i/>
          <w:iCs/>
          <w:sz w:val="20"/>
          <w:szCs w:val="20"/>
        </w:rPr>
        <w:t xml:space="preserve">The Supreme Court of Arkansas heard a case that originated from the Court of Appeals in Arkansas. A client died in a single-car motor vehicle accident </w:t>
      </w:r>
    </w:p>
    <w:p w14:paraId="0ACFBBF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i/>
          <w:iCs/>
          <w:sz w:val="20"/>
          <w:szCs w:val="20"/>
        </w:rPr>
        <w:t>shortly after undergoing an outpatient colonoscopy performed under conscious sedation. The family sued the center for performing the procedure and permit- ting the client to drive home. The court agreed that sedation should not be administered without the conf irmation of a designated driver for later. It also agreed that an outpatient facility needs to have directives stating that nurses and physicians may not administer sedation unless transportation is available for later. However, the court ruled physi- cians and nurses may rely on information from the client. If the client states that someone will be avail- able for transportation after the procedure, sedation may be administered. The second aspect of the case revolved around the client’s insistence on leaving the facility and driving himself. When a client leaves against medical advice, the health-care personnel have a legal duty to warn and strongly advise the client against the highly dangerous action. However, nurses and physicians do not have a legal right to restrain the client physically, keep his clothes, or take away car keys. Nurses are not obligated to call a taxi, call the police, admit the client to the hospital, or personally escort the client home if the client insists on leaving. Clients have some responsibility for their own safety (</w:t>
      </w:r>
      <w:r w:rsidRPr="00653E2F">
        <w:rPr>
          <w:rFonts w:ascii="ACaslonPro" w:eastAsia="Times New Roman" w:hAnsi="ACaslonPro" w:cs="Times New Roman"/>
          <w:sz w:val="20"/>
          <w:szCs w:val="20"/>
        </w:rPr>
        <w:t xml:space="preserve">Young v GastroIntestinal Center, Inc., </w:t>
      </w:r>
      <w:r w:rsidRPr="00653E2F">
        <w:rPr>
          <w:rFonts w:ascii="ACaslonPro" w:eastAsia="Times New Roman" w:hAnsi="ACaslonPro" w:cs="Times New Roman"/>
          <w:i/>
          <w:iCs/>
          <w:sz w:val="20"/>
          <w:szCs w:val="20"/>
        </w:rPr>
        <w:t xml:space="preserve">2005). In this case, the nurses acted appropriately. They adhered to the standard of prac- tice, documented that the client stated that someone would be available to transport him home, and ful- filled the duty to warn. </w:t>
      </w:r>
    </w:p>
    <w:p w14:paraId="5E69E89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A30A00"/>
          <w:sz w:val="26"/>
          <w:szCs w:val="26"/>
        </w:rPr>
        <w:t xml:space="preserve">Professional Liability Insurance </w:t>
      </w:r>
    </w:p>
    <w:p w14:paraId="200BB84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We live in a litigious society. Although there are a variety of opinions on the issue, in today’s world nurses need to consider obtaining professional lia- bility insurance (Aiken, 2004). Various forms of professional liability insurance are available. These policies have been developed to protect nurses against personal financial losses if they are involved in a medical malpractice suit. If a nurse is charged with malpractice and found guilty, the employing institution has the right to sue the nurse to reclaim damages. Professional malpractice insurance pro- tects the nurse in these situations. </w:t>
      </w:r>
    </w:p>
    <w:p w14:paraId="7CA8443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A30A00"/>
          <w:sz w:val="26"/>
          <w:szCs w:val="26"/>
        </w:rPr>
        <w:t xml:space="preserve">End-of-Life Decisions and the Law </w:t>
      </w:r>
    </w:p>
    <w:p w14:paraId="5E4DF16F"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When a heart ceases to beat, a client is in a state of cardiac arrest. In health-care institutions and in the community, it is common to begin cardiopul- </w:t>
      </w:r>
    </w:p>
    <w:p w14:paraId="6F34081D" w14:textId="51501979"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lastRenderedPageBreak/>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"/var/folders/xx/b74wr1s110v7wd4fcc2vzqx80000gn/T/com.microsoft.Word/WebArchiveCopyPasteTempFiles/page51image38652928"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2C275F17" wp14:editId="424AF970">
            <wp:extent cx="1068070" cy="2743200"/>
            <wp:effectExtent l="0" t="0" r="0" b="0"/>
            <wp:docPr id="18" name="Picture 18" descr="page51image38652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age51image386529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807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"/var/folders/xx/b74wr1s110v7wd4fcc2vzqx80000gn/T/com.microsoft.Word/WebArchiveCopyPasteTempFiles/page51image38653312"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7D77D08A" wp14:editId="69F6AD2C">
            <wp:extent cx="1068070" cy="2743200"/>
            <wp:effectExtent l="0" t="0" r="0" b="0"/>
            <wp:docPr id="17" name="Picture 17" descr="page51image38653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page51image386533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807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3A2823B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monary resuscitation (CPR) when cardiac arrest occurs. In health-care institutions, an elaborate mechanism is put into action when a client “codes.” Much controversy exists concerning when these mechanisms should be used and whether individu- als who have no chance of regaining full viability should be resuscitated. </w:t>
      </w:r>
    </w:p>
    <w:p w14:paraId="30EFF66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Do Not Resuscitate Orders </w:t>
      </w:r>
    </w:p>
    <w:p w14:paraId="00CBD69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A do not resuscitate (DNR) order is a specific directive to health-care personnel not to initiate CPR measures. Only a physician can write a DNR order, usually after consulting with the client or family. Other members of the health-care team are expected to comply with the order. Clients have the right to request a DNR order. However, they may make this request without a full understanding of what it really means. Consider the following example: </w:t>
      </w:r>
    </w:p>
    <w:p w14:paraId="26F3E8D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i/>
          <w:iCs/>
          <w:sz w:val="20"/>
          <w:szCs w:val="20"/>
        </w:rPr>
        <w:t xml:space="preserve">When Mrs. Vincent, 58 years old, was admitted to the hospital for a hysterectomy, she stated, “I want to be made a DNR.” The nurse, concerned by the statement, questioned Mrs. Vincent’s understanding of a DNR order. The nurse asked her, “Do you mean that if you are walking down the hall after your surgery and your heart stops beating, you do not want the nurses or physicians to do anything? You want us to just let you die?” Mrs. Vincent responded with a resounding, “No, that is not what I mean. I mean if something happens to me and I won’t be abletobethewayIamnow,IwanttobeaDNR!” The nurse then explained the concept of a DNR order. </w:t>
      </w:r>
    </w:p>
    <w:p w14:paraId="7637A03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New York state has one of the most complete laws regarding DNR orders for acute and long-term care facilities. The New York law sets up a hierarchy of surrogates who may ask for a DNR status for incompetent clients. The state has also ordered that all health-care facilities ask clients their wishes regarding resuscitation (www.ny.gov). The ANA advocated that every facility have a written policy regarding the initiation of such orders (ANA, 1992). The client, or if the client is unable to speak for himself or herself, a family member or guardian should make clear the client’s preference for either having as much as possible done or withholding treatment (see the next section, Advance Direc- tives). After the Terri Schiavo case the ANA recon- firmed its stance on this issue (ANA, 2005). </w:t>
      </w:r>
    </w:p>
    <w:p w14:paraId="4F0996B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FFFFFF"/>
          <w:sz w:val="14"/>
          <w:szCs w:val="14"/>
          <w:shd w:val="clear" w:color="auto" w:fill="A30A00"/>
        </w:rPr>
        <w:t xml:space="preserve">box 3-3 </w:t>
      </w:r>
    </w:p>
    <w:p w14:paraId="3DE6AB3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A30A00"/>
          <w:sz w:val="20"/>
          <w:szCs w:val="20"/>
        </w:rPr>
        <w:t xml:space="preserve">Elements to Include in a DNR Order </w:t>
      </w:r>
    </w:p>
    <w:p w14:paraId="554234B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 Statement of the institution’s policy that resuscitation will be initiated unless there is a specific order to withhold resuscitative measures </w:t>
      </w:r>
    </w:p>
    <w:p w14:paraId="67EC457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lastRenderedPageBreak/>
        <w:t>• Statement from the client regarding specific desires</w:t>
      </w:r>
      <w:r w:rsidRPr="00653E2F">
        <w:rPr>
          <w:rFonts w:ascii="FuturaStd" w:eastAsia="Times New Roman" w:hAnsi="FuturaStd" w:cs="Times New Roman"/>
          <w:sz w:val="16"/>
          <w:szCs w:val="16"/>
        </w:rPr>
        <w:br/>
        <w:t xml:space="preserve">• Description of the client’s medical condition to justify a </w:t>
      </w:r>
    </w:p>
    <w:p w14:paraId="6E32A86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DNR order</w:t>
      </w:r>
      <w:r w:rsidRPr="00653E2F">
        <w:rPr>
          <w:rFonts w:ascii="FuturaStd" w:eastAsia="Times New Roman" w:hAnsi="FuturaStd" w:cs="Times New Roman"/>
          <w:sz w:val="16"/>
          <w:szCs w:val="16"/>
        </w:rPr>
        <w:br/>
        <w:t xml:space="preserve">• Statement about the role of family members or </w:t>
      </w:r>
    </w:p>
    <w:p w14:paraId="2874132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significant others</w:t>
      </w:r>
      <w:r w:rsidRPr="00653E2F">
        <w:rPr>
          <w:rFonts w:ascii="FuturaStd" w:eastAsia="Times New Roman" w:hAnsi="FuturaStd" w:cs="Times New Roman"/>
          <w:sz w:val="16"/>
          <w:szCs w:val="16"/>
        </w:rPr>
        <w:br/>
        <w:t>• Definition of the scope of the DNR order</w:t>
      </w:r>
      <w:r w:rsidRPr="00653E2F">
        <w:rPr>
          <w:rFonts w:ascii="FuturaStd" w:eastAsia="Times New Roman" w:hAnsi="FuturaStd" w:cs="Times New Roman"/>
          <w:sz w:val="16"/>
          <w:szCs w:val="16"/>
        </w:rPr>
        <w:br/>
        <w:t xml:space="preserve">• Delineation of the roles of various caregivers </w:t>
      </w:r>
    </w:p>
    <w:p w14:paraId="0810540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sz w:val="14"/>
          <w:szCs w:val="14"/>
        </w:rPr>
        <w:t xml:space="preserve">American Nurses Association. (1992). Position statement on nursing care and do not resuscitate decisions. Washington, DC: ANA. </w:t>
      </w:r>
    </w:p>
    <w:p w14:paraId="7574709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Elements to include in a DNR order are listed in Box 3-3. </w:t>
      </w:r>
    </w:p>
    <w:p w14:paraId="0F10988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Advance Directives </w:t>
      </w:r>
    </w:p>
    <w:p w14:paraId="0AB8C2D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 legal dilemmas that may arise in relation to DNR orders often require court decisions. For this reason, in 1990, Senator John Danforth of Missouri and Senator Daniel Moynihan of New York intro- duced the Patient Self-Determination Act to address questions regarding life-sustaining treat- ment. The act was created to allow people the opportunity to make decisions about treatment in advance of a time when they might become unable to participate in the decision-making process. Through this mechanism, families can be spared the burden of having to decide what the family member would have wanted. </w:t>
      </w:r>
    </w:p>
    <w:p w14:paraId="6D16C03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Federal law requires that health-care institutions that receive federal money (from Medicare, for example) inform clients of their right to create advance directives. The Patient Self-Determination Act (S.R. 13566) provides guidelines for develop- ing advance directives concerning what will be done for individuals if they are no longer able to participate actively in making decisions about care options. The act states that institutions must: </w:t>
      </w:r>
    </w:p>
    <w:p w14:paraId="1CD8D43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b/>
          <w:bCs/>
          <w:sz w:val="20"/>
          <w:szCs w:val="20"/>
        </w:rPr>
        <w:t xml:space="preserve">Provide information to every client. </w:t>
      </w:r>
      <w:r w:rsidRPr="00653E2F">
        <w:rPr>
          <w:rFonts w:ascii="ACaslonPro" w:eastAsia="Times New Roman" w:hAnsi="ACaslonPro" w:cs="Times New Roman"/>
          <w:sz w:val="20"/>
          <w:szCs w:val="20"/>
        </w:rPr>
        <w:t>On admission, all clients must be informed in writing of their rights under state law to</w:t>
      </w:r>
      <w:r w:rsidRPr="00653E2F">
        <w:rPr>
          <w:rFonts w:ascii="ACaslonPro" w:eastAsia="Times New Roman" w:hAnsi="ACaslonPro" w:cs="Times New Roman"/>
          <w:sz w:val="20"/>
          <w:szCs w:val="20"/>
        </w:rPr>
        <w:br/>
        <w:t xml:space="preserve">accept or refuse medical treatment while they are competent to make decisions about their care. This includes the right to execute advance directives. </w:t>
      </w:r>
    </w:p>
    <w:p w14:paraId="45526B3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b/>
          <w:bCs/>
          <w:sz w:val="20"/>
          <w:szCs w:val="20"/>
        </w:rPr>
        <w:t xml:space="preserve">Document. </w:t>
      </w:r>
      <w:r w:rsidRPr="00653E2F">
        <w:rPr>
          <w:rFonts w:ascii="ACaslonPro" w:eastAsia="Times New Roman" w:hAnsi="ACaslonPro" w:cs="Times New Roman"/>
          <w:sz w:val="20"/>
          <w:szCs w:val="20"/>
        </w:rPr>
        <w:t xml:space="preserve">All clients must be asked whether they have a living will or have chosen a durable power of attorney for health care (also </w:t>
      </w:r>
    </w:p>
    <w:p w14:paraId="05E90FE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chapter </w:t>
      </w:r>
      <w:r w:rsidRPr="00653E2F">
        <w:rPr>
          <w:rFonts w:ascii="FuturaStd" w:eastAsia="Times New Roman" w:hAnsi="FuturaStd" w:cs="Times New Roman"/>
          <w:sz w:val="20"/>
          <w:szCs w:val="20"/>
        </w:rPr>
        <w:t xml:space="preserve">3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Nursing Practice and the Law </w:t>
      </w:r>
      <w:r w:rsidRPr="00653E2F">
        <w:rPr>
          <w:rFonts w:ascii="ACaslonPro" w:eastAsia="Times New Roman" w:hAnsi="ACaslonPro" w:cs="Times New Roman"/>
          <w:b/>
          <w:bCs/>
          <w:i/>
          <w:iCs/>
          <w:sz w:val="20"/>
          <w:szCs w:val="20"/>
        </w:rPr>
        <w:t xml:space="preserve">39 </w:t>
      </w:r>
    </w:p>
    <w:p w14:paraId="5912E2DC" w14:textId="6510CEF5"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lastRenderedPageBreak/>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"/var/folders/xx/b74wr1s110v7wd4fcc2vzqx80000gn/T/com.microsoft.Word/WebArchiveCopyPasteTempFiles/page52image60542800"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78884081" wp14:editId="01884D79">
            <wp:extent cx="2589530" cy="153670"/>
            <wp:effectExtent l="0" t="0" r="1270" b="0"/>
            <wp:docPr id="16" name="Picture 16" descr="page52image60542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age52image6054280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89530" cy="15367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"/var/folders/xx/b74wr1s110v7wd4fcc2vzqx80000gn/T/com.microsoft.Word/WebArchiveCopyPasteTempFiles/page52image38641152"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1E1F972A" wp14:editId="3039B0CC">
            <wp:extent cx="461645" cy="1231265"/>
            <wp:effectExtent l="0" t="0" r="0" b="635"/>
            <wp:docPr id="15" name="Picture 15" descr="page52image3864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age52image3864115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1645" cy="1231265"/>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"/var/folders/xx/b74wr1s110v7wd4fcc2vzqx80000gn/T/com.microsoft.Word/WebArchiveCopyPasteTempFiles/page52image38641344"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3CF6FB4D" wp14:editId="6B25DF72">
            <wp:extent cx="2589530" cy="2743200"/>
            <wp:effectExtent l="0" t="0" r="1270" b="0"/>
            <wp:docPr id="14" name="Picture 14" descr="page52image3864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age52image3864134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8953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"/var/folders/xx/b74wr1s110v7wd4fcc2vzqx80000gn/T/com.microsoft.Word/WebArchiveCopyPasteTempFiles/page52image38641536"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6A139907" wp14:editId="7061B38E">
            <wp:extent cx="2589530" cy="2743200"/>
            <wp:effectExtent l="0" t="0" r="1270" b="0"/>
            <wp:docPr id="13" name="Picture 13" descr="page52image3864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age52image3864153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8953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4495EDA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0"/>
          <w:szCs w:val="20"/>
        </w:rPr>
        <w:t xml:space="preserve">40 </w:t>
      </w:r>
      <w:r w:rsidRPr="00653E2F">
        <w:rPr>
          <w:rFonts w:ascii="FuturaStd" w:eastAsia="Times New Roman" w:hAnsi="FuturaStd" w:cs="Times New Roman"/>
          <w:sz w:val="16"/>
          <w:szCs w:val="16"/>
        </w:rPr>
        <w:t xml:space="preserve">unit </w:t>
      </w:r>
      <w:r w:rsidRPr="00653E2F">
        <w:rPr>
          <w:rFonts w:ascii="FuturaStd" w:eastAsia="Times New Roman" w:hAnsi="FuturaStd" w:cs="Times New Roman"/>
          <w:sz w:val="20"/>
          <w:szCs w:val="20"/>
        </w:rPr>
        <w:t xml:space="preserve">1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Professional Considerations </w:t>
      </w:r>
    </w:p>
    <w:p w14:paraId="46CA464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known as a health-care surrogate). The response must be indicated on the medical record, and a copy of the documents, if available, should be placed on the client’s chart. </w:t>
      </w:r>
    </w:p>
    <w:p w14:paraId="58F6F73F" w14:textId="77777777" w:rsidR="00653E2F" w:rsidRPr="00653E2F" w:rsidRDefault="00653E2F" w:rsidP="00653E2F">
      <w:pPr>
        <w:numPr>
          <w:ilvl w:val="0"/>
          <w:numId w:val="13"/>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b/>
          <w:bCs/>
          <w:color w:val="0000FF"/>
          <w:position w:val="2"/>
          <w:sz w:val="20"/>
          <w:szCs w:val="20"/>
        </w:rPr>
        <w:t xml:space="preserve">Educate. </w:t>
      </w:r>
      <w:r w:rsidRPr="00653E2F">
        <w:rPr>
          <w:rFonts w:ascii="ACaslonPro" w:eastAsia="Times New Roman" w:hAnsi="ACaslonPro" w:cs="Times New Roman"/>
          <w:color w:val="0000FF"/>
          <w:position w:val="2"/>
          <w:sz w:val="20"/>
          <w:szCs w:val="20"/>
        </w:rPr>
        <w:t xml:space="preserve">Nurses, other health-care personnel, and the community need to understand what the Patient Self-Determination Act and state laws regarding advance directives require. </w:t>
      </w:r>
    </w:p>
    <w:p w14:paraId="1578037B" w14:textId="77777777" w:rsidR="00653E2F" w:rsidRPr="00653E2F" w:rsidRDefault="00653E2F" w:rsidP="00653E2F">
      <w:pPr>
        <w:numPr>
          <w:ilvl w:val="0"/>
          <w:numId w:val="13"/>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b/>
          <w:bCs/>
          <w:color w:val="0000FF"/>
          <w:position w:val="2"/>
          <w:sz w:val="20"/>
          <w:szCs w:val="20"/>
        </w:rPr>
        <w:t xml:space="preserve">Be respectful of clients’ rights. </w:t>
      </w:r>
      <w:r w:rsidRPr="00653E2F">
        <w:rPr>
          <w:rFonts w:ascii="ACaslonPro" w:eastAsia="Times New Roman" w:hAnsi="ACaslonPro" w:cs="Times New Roman"/>
          <w:color w:val="0000FF"/>
          <w:position w:val="2"/>
          <w:sz w:val="20"/>
          <w:szCs w:val="20"/>
        </w:rPr>
        <w:t xml:space="preserve">All clients are to be treated with respectful care regardless of their decision regarding life-prolonging treatments. </w:t>
      </w:r>
    </w:p>
    <w:p w14:paraId="382A461F" w14:textId="77777777" w:rsidR="00653E2F" w:rsidRPr="00653E2F" w:rsidRDefault="00653E2F" w:rsidP="00653E2F">
      <w:pPr>
        <w:numPr>
          <w:ilvl w:val="0"/>
          <w:numId w:val="13"/>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b/>
          <w:bCs/>
          <w:color w:val="0000FF"/>
          <w:position w:val="2"/>
          <w:sz w:val="20"/>
          <w:szCs w:val="20"/>
        </w:rPr>
        <w:t xml:space="preserve">Have cultural humility. </w:t>
      </w:r>
      <w:r w:rsidRPr="00653E2F">
        <w:rPr>
          <w:rFonts w:ascii="ACaslonPro" w:eastAsia="Times New Roman" w:hAnsi="ACaslonPro" w:cs="Times New Roman"/>
          <w:color w:val="0000FF"/>
          <w:position w:val="2"/>
          <w:sz w:val="20"/>
          <w:szCs w:val="20"/>
        </w:rPr>
        <w:t xml:space="preserve">Recognize that culture affects clients’ decisions regarding end- of-life care. Nurses should familiarize themselves with the cultural and spiritual beliefs of their clients in order to deliver culturally sensitive care. </w:t>
      </w:r>
    </w:p>
    <w:p w14:paraId="48D0F531"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ACaslonPro" w:eastAsia="Times New Roman" w:hAnsi="ACaslonPro" w:cs="Times New Roman"/>
          <w:b/>
          <w:bCs/>
          <w:i/>
          <w:iCs/>
          <w:color w:val="0000FF"/>
          <w:position w:val="2"/>
          <w:sz w:val="22"/>
          <w:szCs w:val="22"/>
        </w:rPr>
        <w:t xml:space="preserve">Living Will and Durable Power of Attorney for Health Care (Health-Care Surrogate) </w:t>
      </w:r>
    </w:p>
    <w:p w14:paraId="135B4227"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lastRenderedPageBreak/>
        <w:t xml:space="preserve">The two most common forms of advance directives are living wills and durable power of attorney for health care (health-care surrogate). Living wills and other advance directives describe individual prefer- ences regarding treatment in the event of a serious accident or illness. These legal documents indicate an individual’s wishes regarding care decisions (www.mayoclinic.com/health/living-wills/ HA00014). </w:t>
      </w:r>
    </w:p>
    <w:p w14:paraId="2F05947B"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A living will is a legally executed document that states an individual’s wishes regarding the use of life-prolonging medical treatment in the event that he or she is no longer competent to make informed treatment decisions on his or her own behalf and is suffering from a terminal condition (Catalano, 2000; Flarey, 1991). A condition is considered ter- minal when, to a reasonable degree of medical cer- tainty, there is little likelihood of recovery or the condition is expected to cause death. A terminal condition may also refer to a persistent vegetative state characterized by a permanent and irreversible condition of unconsciousness in which there is (1) absence of voluntary action or cognitive behavior of any kind and (2) an inability to communicate or interact purposefully with the environment (Hickey, 2008). </w:t>
      </w:r>
    </w:p>
    <w:p w14:paraId="041E0303"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Another function of an advance directive is to designate a health-care surrogate. The role of the health-care surrogate is to make the client’s wishes </w:t>
      </w:r>
    </w:p>
    <w:p w14:paraId="0E6632C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known to medical and nursing personnel. Chosen by the client, the health-care surrogate is usually a family member or close friend. Imperative in the designation of a health-care surrogate is a clear understanding of the client’s wishes should the need arise to know them. </w:t>
      </w:r>
    </w:p>
    <w:p w14:paraId="01B6C7F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In some situations, clients are unable to express themselves adequately or competently, although they are not terminally ill. For example, clients with advanced Alzheimer’s disease or other forms of dementia cannot communicate their wishes; clients under anesthesia are temporarily unable to com- municate; and the condition of comatose clients does not allow for expression of health-care wishes. In these situations, the health-care surrogate can make treatment decisions on behalf of the client. However, when a client regains the ability to make his or her own decisions and is capable of ex- pressing them effectively, he or she resumes con- trol of all decision making pertaining to medical treatment (Reigle, 1992). Nurses and physicians may be held accountable when they go against a client’s wishes regarding DNR orders and advance directives. </w:t>
      </w:r>
    </w:p>
    <w:p w14:paraId="5C22607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In the case of </w:t>
      </w:r>
      <w:r w:rsidRPr="00653E2F">
        <w:rPr>
          <w:rFonts w:ascii="ACaslonPro" w:eastAsia="Times New Roman" w:hAnsi="ACaslonPro" w:cs="Times New Roman"/>
          <w:i/>
          <w:iCs/>
          <w:sz w:val="20"/>
          <w:szCs w:val="20"/>
        </w:rPr>
        <w:t xml:space="preserve">Wendland v. Sparks </w:t>
      </w:r>
      <w:r w:rsidRPr="00653E2F">
        <w:rPr>
          <w:rFonts w:ascii="ACaslonPro" w:eastAsia="Times New Roman" w:hAnsi="ACaslonPro" w:cs="Times New Roman"/>
          <w:sz w:val="20"/>
          <w:szCs w:val="20"/>
        </w:rPr>
        <w:t xml:space="preserve">(1998), the physician and nurses were sued for “not initiating CPR.” In this case, the client had been in the hos- pital for more than 2 months for lung disease and multiple myeloma. Although improving at the time, during the hospitalization the client had experienced three cardiac arrests. Even after this, she had not requested a DNR order. Her family had not discussed this either. After one of the arrests, the client’s husband had told the physician that he wanted his wife placed on artificial life support if it was necessary (Guido, 2001). The client had a fourth cardiac arrest. One nurse went to obtain the crash cart, and another went to get the physician who happened to be in the area. The physician checked the client’s heart rate, pupils, and respirations and stated, “I just cannot do it to her.” (Guido, 2001, p. 158). She ordered the nurses to stop the resuscitation, and the physician pro- nounced the death of the client. The nurses stated that if they had not been given a direct order they would have continued their attempts at resuscita- tion. “The court ruled that the physician’s judgment was faulty and that the family had the right to sue the physician for wrongful death” (Guido, 2001, p. 158). The nurses were cleared in this case because they were following a physician’s order. </w:t>
      </w:r>
    </w:p>
    <w:p w14:paraId="2DDB9A3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Nursing Implications </w:t>
      </w:r>
    </w:p>
    <w:p w14:paraId="5CB8DAF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 Patient Self-Determination Act does not specify who should discuss treatment decisions or advance directives with clients. Because directives are often implemented on nursing units, however, nurses must be knowledgeable about living wills and health-care surrogates and be prepared to answer questions that clients may have about direc- tives and the forms used by the health-care institution. </w:t>
      </w:r>
    </w:p>
    <w:p w14:paraId="3AB4460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lastRenderedPageBreak/>
        <w:t xml:space="preserve">The responsibility for creating an awareness of individual rights often falls on nurses because they are client advocates. It is the responsibility of the health-care institution to educate personnel about its policies so that nurses and others involved in client care can inform health-care consumers of their choices. Nurses who are unsure of the policies in their health-care institution should contact the appropriate department. </w:t>
      </w:r>
    </w:p>
    <w:p w14:paraId="30EEC19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A30A00"/>
          <w:sz w:val="26"/>
          <w:szCs w:val="26"/>
        </w:rPr>
        <w:t xml:space="preserve">Legal Implications of Mandatory Overtime </w:t>
      </w:r>
    </w:p>
    <w:p w14:paraId="5285E29F"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Although mostly a workplace and safety issue, there are legal implications to mandatory overtime. Due to nursing shortages, hospitals have increasingly forced nurses to work overtime (ANA, 2011). The ANA conducted a survey of almost 220,000 RNs from 13,000 nursing units in over 550 hospitals. The survey produced a 70% report rate and the results indicated that: </w:t>
      </w:r>
    </w:p>
    <w:p w14:paraId="7553D802" w14:textId="77777777" w:rsidR="00653E2F" w:rsidRPr="00653E2F" w:rsidRDefault="00653E2F" w:rsidP="00653E2F">
      <w:pPr>
        <w:numPr>
          <w:ilvl w:val="0"/>
          <w:numId w:val="14"/>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54% of nurses in adult medical units and emergency rooms revealed that they do not have sufficient time with patients; </w:t>
      </w:r>
    </w:p>
    <w:p w14:paraId="2C92B44C" w14:textId="77777777" w:rsidR="00653E2F" w:rsidRPr="00653E2F" w:rsidRDefault="00653E2F" w:rsidP="00653E2F">
      <w:pPr>
        <w:numPr>
          <w:ilvl w:val="0"/>
          <w:numId w:val="14"/>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The amount of overtime has increased during the past year with 43% of all RNs working extra hours because the unit is short staffed or busy; and </w:t>
      </w:r>
    </w:p>
    <w:p w14:paraId="131B8CEC" w14:textId="77777777" w:rsidR="00653E2F" w:rsidRPr="00653E2F" w:rsidRDefault="00653E2F" w:rsidP="00653E2F">
      <w:pPr>
        <w:numPr>
          <w:ilvl w:val="0"/>
          <w:numId w:val="14"/>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Inadequate staffing affected unit admissions, transfers, and discharges more than 20% of the time (ANA, 2011). </w:t>
      </w:r>
    </w:p>
    <w:p w14:paraId="22F9EDE3" w14:textId="77777777" w:rsidR="00653E2F" w:rsidRPr="00653E2F" w:rsidRDefault="00653E2F" w:rsidP="00653E2F">
      <w:pPr>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Overtime causes physical and mental fatigue, increased stress, and decreased concentration. Sub- sequently, these conditions lead to medical errors such as failure to assess appropriately, report, docu- ment, and administer medications safely. This prac- tice of overtime ignores other responsibilities nurses </w:t>
      </w:r>
    </w:p>
    <w:p w14:paraId="6927E11F"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have outside of their professional lives, which affects their mood, motivation, and productivity (Bae, Brewer, &amp; Kovner, 2011). </w:t>
      </w:r>
    </w:p>
    <w:p w14:paraId="39F4634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Forced overtime causes already fatigued nurses to deliver nursing care that may be less than optimum, which in turn may lead to negligence and malpractice. This can result in the nurse losing his or her license and perhaps even facing a wrongful death suit due to an error in judgment. Needleman, Buerhaus, Pankratz, Liebson, Stevens, and Harris (2011) found that patient mortality increased by 2% on nursing units that had nurses working shifts 8 hours or more over their scheduled time due to registered nurse short staffing issues. Many states have implemented legislation restricting manda- tory overtime for nurses. It is important for nurses to know and understand the laws of their particular state dealing with this issue. </w:t>
      </w:r>
    </w:p>
    <w:p w14:paraId="6F91DF7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Nurses practice under state or provincial (Canada) nurse practice acts, which state that nurses are held accountable for the safety and welfare of their clients. Once a nurse accepts an assignment for the client, that nurse becomes liable under his or her license. </w:t>
      </w:r>
    </w:p>
    <w:p w14:paraId="4A37441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A30A00"/>
          <w:sz w:val="26"/>
          <w:szCs w:val="26"/>
        </w:rPr>
        <w:t xml:space="preserve">Licensure </w:t>
      </w:r>
    </w:p>
    <w:p w14:paraId="453C922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Licensure is defined by the National Council of State Boards of Nursing as “the process by which boards of nursing grant permission to an indi- vidual to engage in nursing practice after determin- ing that the applicant has attained the competency necessary to perform a unique scope of practice. Licensure is necessary when the regulated activi- ties are complex, require specialized knowledge and skill and independent decision making.” (NCSBN, 2012). Licenses are given by a govern- ment agency to allow an individual to engage in a professional practice and use a specific title. State boards of nursing issue nursing licenses, thus limit- ing practice to a specific jurisdiction (Blais &amp; Hayes, 2011). </w:t>
      </w:r>
    </w:p>
    <w:p w14:paraId="3FBFD3E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Licensure can be mandatory or permissive. Permissive licensure is a voluntary arrangement whereby an individual chooses to become licensed to demonstrate competence. However, the license is not required to </w:t>
      </w:r>
      <w:r w:rsidRPr="00653E2F">
        <w:rPr>
          <w:rFonts w:ascii="ACaslonPro" w:eastAsia="Times New Roman" w:hAnsi="ACaslonPro" w:cs="Times New Roman"/>
          <w:sz w:val="20"/>
          <w:szCs w:val="20"/>
        </w:rPr>
        <w:lastRenderedPageBreak/>
        <w:t xml:space="preserve">practice. Mandatory licensure requires a nurse to be licensed in order to practice. In the United States and Canada, licensure is mandatory. </w:t>
      </w:r>
    </w:p>
    <w:p w14:paraId="3D31612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chapter </w:t>
      </w:r>
      <w:r w:rsidRPr="00653E2F">
        <w:rPr>
          <w:rFonts w:ascii="FuturaStd" w:eastAsia="Times New Roman" w:hAnsi="FuturaStd" w:cs="Times New Roman"/>
          <w:sz w:val="20"/>
          <w:szCs w:val="20"/>
        </w:rPr>
        <w:t xml:space="preserve">3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Nursing Practice and the Law </w:t>
      </w:r>
      <w:r w:rsidRPr="00653E2F">
        <w:rPr>
          <w:rFonts w:ascii="ACaslonPro" w:eastAsia="Times New Roman" w:hAnsi="ACaslonPro" w:cs="Times New Roman"/>
          <w:b/>
          <w:bCs/>
          <w:i/>
          <w:iCs/>
          <w:sz w:val="20"/>
          <w:szCs w:val="20"/>
        </w:rPr>
        <w:t xml:space="preserve">41 </w:t>
      </w:r>
    </w:p>
    <w:p w14:paraId="2A689791" w14:textId="7AB904EC"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"/var/folders/xx/b74wr1s110v7wd4fcc2vzqx80000gn/T/com.microsoft.Word/WebArchiveCopyPasteTempFiles/page54image37998336"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0CE29C81" wp14:editId="40D9B31C">
            <wp:extent cx="1068070" cy="2743200"/>
            <wp:effectExtent l="0" t="0" r="0" b="0"/>
            <wp:docPr id="12" name="Picture 12" descr="page54image37998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page54image3799833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807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"/var/folders/xx/b74wr1s110v7wd4fcc2vzqx80000gn/T/com.microsoft.Word/WebArchiveCopyPasteTempFiles/page54image37998528"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6C9AB71C" wp14:editId="323F3CA9">
            <wp:extent cx="1068070" cy="2743200"/>
            <wp:effectExtent l="0" t="0" r="0" b="0"/>
            <wp:docPr id="11" name="Picture 11" descr="page54image37998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age54image379985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807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098B685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0"/>
          <w:szCs w:val="20"/>
        </w:rPr>
        <w:t xml:space="preserve">42 </w:t>
      </w:r>
      <w:r w:rsidRPr="00653E2F">
        <w:rPr>
          <w:rFonts w:ascii="FuturaStd" w:eastAsia="Times New Roman" w:hAnsi="FuturaStd" w:cs="Times New Roman"/>
          <w:sz w:val="16"/>
          <w:szCs w:val="16"/>
        </w:rPr>
        <w:t xml:space="preserve">unit </w:t>
      </w:r>
      <w:r w:rsidRPr="00653E2F">
        <w:rPr>
          <w:rFonts w:ascii="FuturaStd" w:eastAsia="Times New Roman" w:hAnsi="FuturaStd" w:cs="Times New Roman"/>
          <w:sz w:val="20"/>
          <w:szCs w:val="20"/>
        </w:rPr>
        <w:t xml:space="preserve">1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Professional Considerations </w:t>
      </w:r>
    </w:p>
    <w:p w14:paraId="442DF90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Qualifications for Licensure </w:t>
      </w:r>
    </w:p>
    <w:p w14:paraId="32B7DA0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 basic qualification for licensure requires gradu- ation from an approved nursing program. In the United States, states may add additional require- ments, such as disclosures regarding health or med- ications that could affect practice. Most states require disclosure of criminal conviction. </w:t>
      </w:r>
    </w:p>
    <w:p w14:paraId="523375B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Licensure by Examination </w:t>
      </w:r>
    </w:p>
    <w:p w14:paraId="1B37B20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A major accomplishment in the history of nursing licensure was the creation of the Bureau of State Boards of Nurse Examiners. The formation of this agency led to the development of an identical examination in all states. The original examination, called the State Board Test Pool Examination, was created by the testing department of the National League for Nursing. This was done through a collaborating contract with the state boards. Initially, each state determined its own passing score; however, the states did adopt a common passing score. The examination is called the NCLEX-RN and is used in all states and ter- ritories of the United States. This test is prepared and administered through a testing company, Pearson Professional Testing of Minnesota (Ellis &amp; Hartley, 2004). </w:t>
      </w:r>
    </w:p>
    <w:p w14:paraId="42B60B3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2"/>
          <w:szCs w:val="22"/>
        </w:rPr>
        <w:t xml:space="preserve">NCLEX-RN </w:t>
      </w:r>
    </w:p>
    <w:p w14:paraId="5CD81D4F"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 NCLEX-RN is administered through com- puterized adaptive testing (CAT). Candidates must register to take the examination at an approved testing center in their area. Because of a large test bank, CAT permits a variety of questions to be administered to a group of candidates. Candidates taking the examination at the same time may not necessarily receive the same questions. Once a can- didate answers a question, the computer analyzes the response and then chooses an appropriate ques- </w:t>
      </w:r>
    </w:p>
    <w:p w14:paraId="69E9369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FFFFFF"/>
          <w:sz w:val="14"/>
          <w:szCs w:val="14"/>
          <w:shd w:val="clear" w:color="auto" w:fill="0000FF"/>
        </w:rPr>
        <w:t xml:space="preserve">table 3-2 </w:t>
      </w:r>
    </w:p>
    <w:p w14:paraId="32E119D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75E68"/>
          <w:sz w:val="20"/>
          <w:szCs w:val="20"/>
        </w:rPr>
        <w:lastRenderedPageBreak/>
        <w:t xml:space="preserve">Major Categories and Subcategories of Client Needs </w:t>
      </w:r>
    </w:p>
    <w:p w14:paraId="00A97A7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Safe Effective Care Environment Health Promotion and Maintenance Psychosocial Integrity</w:t>
      </w:r>
      <w:r w:rsidRPr="00653E2F">
        <w:rPr>
          <w:rFonts w:ascii="FuturaStd" w:eastAsia="Times New Roman" w:hAnsi="FuturaStd" w:cs="Times New Roman"/>
          <w:sz w:val="16"/>
          <w:szCs w:val="16"/>
        </w:rPr>
        <w:br/>
        <w:t xml:space="preserve">Physiological Integrity </w:t>
      </w:r>
    </w:p>
    <w:p w14:paraId="00CCF36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tion to ask next. If the question was answered cor- rectly, the following question may be more difficult; if the question was answered incorrectly, the next question may be easier. </w:t>
      </w:r>
    </w:p>
    <w:p w14:paraId="51A1FEF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In April 2013 the new test plan was imple- mented. Changes in the test plan were based on the </w:t>
      </w:r>
      <w:r w:rsidRPr="00653E2F">
        <w:rPr>
          <w:rFonts w:ascii="ACaslonPro" w:eastAsia="Times New Roman" w:hAnsi="ACaslonPro" w:cs="Times New Roman"/>
          <w:i/>
          <w:iCs/>
          <w:sz w:val="20"/>
          <w:szCs w:val="20"/>
        </w:rPr>
        <w:t xml:space="preserve">Findings from the 2011 RN Practice Analysis: Linking the NCLEX Examination to Practice </w:t>
      </w:r>
      <w:r w:rsidRPr="00653E2F">
        <w:rPr>
          <w:rFonts w:ascii="ACaslonPro" w:eastAsia="Times New Roman" w:hAnsi="ACaslonPro" w:cs="Times New Roman"/>
          <w:sz w:val="20"/>
          <w:szCs w:val="20"/>
        </w:rPr>
        <w:t xml:space="preserve">(NCSBN, 2012).The minimum number of questions any can- didate may receive is 75, and the maximum is 265. Although the maximum amount of time for taking the examination is 6 hours, candidates who do well or those who are not performing well may finish as soon as 1 hour. The test ends once the analysis of the examination clearly determines that the candi- date has successfully passed, has undoubtedly failed, has answered the maximum number of questions, or has reached the time limit (NCSBN, 2012). The computer scores the test at the time it is taken; however, candidates are not notified of their status at the time of completion. The information first goes to the testing service, which in turn notifies the appropriate state board. The state board notifies the candidate of the examination results. </w:t>
      </w:r>
    </w:p>
    <w:p w14:paraId="4EBF6BE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Nursing practice requires the application of knowledge, skills, and abilities (NCSBN, 2012). The items are written to reflect the levels of Bloom’s taxonomy and are organized around client needs to reflect the candidates’ ability to make nursing deci- sions regarding client care through application and analysis of information. The examination is orga- nized into four major client need categories.Two of these categories, safe and effective care and physi- ological needs, include subdivisions (NCSBN, 2012). Integrated processes incorporate “nursing process, caring, communication and documen- tation and teaching/learning” (NCSBN, 2012, p. 3). Table 3-2 summarizes the categories and subcategories. </w:t>
      </w:r>
    </w:p>
    <w:p w14:paraId="209BA5E2" w14:textId="79D590CD"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"/var/folders/xx/b74wr1s110v7wd4fcc2vzqx80000gn/T/com.microsoft.Word/WebArchiveCopyPasteTempFiles/page55image44873536"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066F9A7F" wp14:editId="60215563">
            <wp:extent cx="2181860" cy="135890"/>
            <wp:effectExtent l="0" t="0" r="2540" b="3810"/>
            <wp:docPr id="10" name="Picture 10" descr="page55image44873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page55image4487353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1860" cy="13589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"/var/folders/xx/b74wr1s110v7wd4fcc2vzqx80000gn/T/com.microsoft.Word/WebArchiveCopyPasteTempFiles/page55image37953984"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0286AE37" wp14:editId="7D33AB90">
            <wp:extent cx="461645" cy="977900"/>
            <wp:effectExtent l="0" t="0" r="0" b="0"/>
            <wp:docPr id="9" name="Picture 9" descr="page55image37953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age55image3795398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1645" cy="9779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"/var/folders/xx/b74wr1s110v7wd4fcc2vzqx80000gn/T/com.microsoft.Word/WebArchiveCopyPasteTempFiles/page55image37954176"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03D630AD" wp14:editId="3DBC9CF0">
            <wp:extent cx="5414010" cy="2743200"/>
            <wp:effectExtent l="0" t="0" r="0" b="0"/>
            <wp:docPr id="8" name="Picture 8" descr="page55image37954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page55image3795417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1401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0E37999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000FF"/>
          <w:sz w:val="16"/>
          <w:szCs w:val="16"/>
        </w:rPr>
        <w:t xml:space="preserve">Categor y </w:t>
      </w:r>
    </w:p>
    <w:p w14:paraId="060BB1B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0000FF"/>
          <w:sz w:val="16"/>
          <w:szCs w:val="16"/>
        </w:rPr>
        <w:lastRenderedPageBreak/>
        <w:t xml:space="preserve">Subcategories </w:t>
      </w:r>
    </w:p>
    <w:p w14:paraId="09AE538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Management of Care Safety and Infection Control Basic Care and Comfort</w:t>
      </w:r>
      <w:r w:rsidRPr="00653E2F">
        <w:rPr>
          <w:rFonts w:ascii="FuturaStd" w:eastAsia="Times New Roman" w:hAnsi="FuturaStd" w:cs="Times New Roman"/>
          <w:sz w:val="16"/>
          <w:szCs w:val="16"/>
        </w:rPr>
        <w:br/>
        <w:t xml:space="preserve">Pharmacological and Parenteral Therapies Reduction of Risk Potential </w:t>
      </w:r>
    </w:p>
    <w:p w14:paraId="7FC696B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Physiological Adaptation </w:t>
      </w:r>
    </w:p>
    <w:p w14:paraId="0091BBD0" w14:textId="51EBBB10"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"/var/folders/xx/b74wr1s110v7wd4fcc2vzqx80000gn/T/com.microsoft.Word/WebArchiveCopyPasteTempFiles/page55image37954368"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4B161545" wp14:editId="3A75BD4B">
            <wp:extent cx="5395595" cy="2743200"/>
            <wp:effectExtent l="0" t="0" r="1905" b="0"/>
            <wp:docPr id="7" name="Picture 7" descr="page55image37954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age55image3795436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95595"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"/var/folders/xx/b74wr1s110v7wd4fcc2vzqx80000gn/T/com.microsoft.Word/WebArchiveCopyPasteTempFiles/page55image37954560"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293AE049" wp14:editId="21BD6F6A">
            <wp:extent cx="5414010" cy="2743200"/>
            <wp:effectExtent l="0" t="0" r="0" b="0"/>
            <wp:docPr id="6" name="Picture 6" descr="page55image37954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age55image3795456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1401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71DEC47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sz w:val="14"/>
          <w:szCs w:val="14"/>
        </w:rPr>
        <w:t xml:space="preserve">Source: Adapted from NCSBN NCLEX-RN test plan (NCSBN, 2007, pp. 3–4.) </w:t>
      </w:r>
    </w:p>
    <w:p w14:paraId="0A2337D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Earlier, all questions were written in a multiple- choice format. In 2003, alternative formats were introduced. These alternative-format questions include fill-in-the-blank; multiple-response an- swers; audio and video type; “hot spots” that re- quire the candidate to identify an area on a picture, graph, or chart; and drag-and-drop (NCSBN, 2012). More information on alternative formats can be found on the NCSBN Web site: www .ncsbn.org. </w:t>
      </w:r>
    </w:p>
    <w:p w14:paraId="0422CE4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2"/>
          <w:szCs w:val="22"/>
        </w:rPr>
        <w:t xml:space="preserve">Preparing for the NCLEX-RN </w:t>
      </w:r>
    </w:p>
    <w:p w14:paraId="464FA3E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lastRenderedPageBreak/>
        <w:t xml:space="preserve">There are several ways to prepare for the NCLEX- RN. Some candidates attend review courses, others view videos and DVDs, and others review books. These methods assist in reviewing information that was learned during the classroom education. Each individual needs to decide what works best for him or her. It is helpful to take practice tests, because it familiarizes one with the computer and the exami- nation format. The NCSBN offers an online NCLEX-RN study program. </w:t>
      </w:r>
    </w:p>
    <w:p w14:paraId="78508EC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To prepare for the NCLEX, take time to look at the test blueprint provided by the NCSBN. This gives candidates a comprehensive overview of the types of questions to expect on the examination. Candidates can review alternative test formats by accessing www.pearsonvue.com/nclex/. Some test- taking tips follow. </w:t>
      </w:r>
    </w:p>
    <w:p w14:paraId="4582D777" w14:textId="77777777" w:rsidR="00653E2F" w:rsidRPr="00653E2F" w:rsidRDefault="00653E2F" w:rsidP="00653E2F">
      <w:pPr>
        <w:numPr>
          <w:ilvl w:val="0"/>
          <w:numId w:val="15"/>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Be positive. Remind yourself that you worked hard to reach this milestone and how prepared you are to take the licensure examination. </w:t>
      </w:r>
    </w:p>
    <w:p w14:paraId="4790C247" w14:textId="77777777" w:rsidR="00653E2F" w:rsidRPr="00653E2F" w:rsidRDefault="00653E2F" w:rsidP="00653E2F">
      <w:pPr>
        <w:numPr>
          <w:ilvl w:val="0"/>
          <w:numId w:val="15"/>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Turn negative thoughts into positive ones. Rather than saying, “I hope I pass,” tell yourself, “I know I will do well.” </w:t>
      </w:r>
    </w:p>
    <w:p w14:paraId="1779F3AA" w14:textId="77777777" w:rsidR="00653E2F" w:rsidRPr="00653E2F" w:rsidRDefault="00653E2F" w:rsidP="00653E2F">
      <w:pPr>
        <w:numPr>
          <w:ilvl w:val="0"/>
          <w:numId w:val="15"/>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Acknowledge your feelings regarding the NCLEX. It is fine to admit that you are anxious; however, use your positive thoughts to control the anxiety. </w:t>
      </w:r>
    </w:p>
    <w:p w14:paraId="3C857A61" w14:textId="77777777" w:rsidR="00653E2F" w:rsidRPr="00653E2F" w:rsidRDefault="00653E2F" w:rsidP="00653E2F">
      <w:pPr>
        <w:numPr>
          <w:ilvl w:val="0"/>
          <w:numId w:val="15"/>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Also use diaphragmatic breathing (deep breathing) to control anxiety. Deep breathing augments the relaxation response of the body. Use this method at the beginning of the test or if you encounter a question that you find confusing. </w:t>
      </w:r>
    </w:p>
    <w:p w14:paraId="67B4A8DD" w14:textId="77777777" w:rsidR="00653E2F" w:rsidRPr="00653E2F" w:rsidRDefault="00653E2F" w:rsidP="00653E2F">
      <w:pPr>
        <w:numPr>
          <w:ilvl w:val="0"/>
          <w:numId w:val="15"/>
        </w:numPr>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Control the situation by making a list of the items you may need to take the test. Pack them in a bag several days before, and keep them in a place where you will remember to take them. </w:t>
      </w:r>
    </w:p>
    <w:p w14:paraId="18BF070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sz w:val="20"/>
          <w:szCs w:val="20"/>
        </w:rPr>
        <w:t xml:space="preserve">Eat well and get a good night’s sleep before the test. Avoid foods high in sugar and caffeine. Contrary to popular belief, caffeine interferes with your ability to concentrate. Eat complex carbohydrates and protein to maintain your blood glucose level. </w:t>
      </w:r>
    </w:p>
    <w:p w14:paraId="737D116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sz w:val="20"/>
          <w:szCs w:val="20"/>
        </w:rPr>
        <w:t xml:space="preserve">Several days before you are scheduled to take the test, travel to the test site along the same route at the time you plan to go. Have an alternate itinerary in case there is a disruption in your route. This will alleviate any unnecessary stress in arriving at the examination site. </w:t>
      </w:r>
    </w:p>
    <w:p w14:paraId="201153F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sz w:val="20"/>
          <w:szCs w:val="20"/>
        </w:rPr>
        <w:t xml:space="preserve">Leave early and give yourself plenty of time to get to your destination. Arriving early also gives you a sense of control. </w:t>
      </w:r>
    </w:p>
    <w:p w14:paraId="53CE0EF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Times New Roman" w:eastAsia="Times New Roman" w:hAnsi="Times New Roman" w:cs="Times New Roman"/>
          <w:color w:val="0000FF"/>
          <w:position w:val="2"/>
          <w:sz w:val="12"/>
          <w:szCs w:val="12"/>
        </w:rPr>
        <w:t>■</w:t>
      </w:r>
      <w:r w:rsidRPr="00653E2F">
        <w:rPr>
          <w:rFonts w:ascii="ZapfDingbats" w:eastAsia="Times New Roman" w:hAnsi="ZapfDingbats" w:cs="Times New Roman"/>
          <w:color w:val="0000FF"/>
          <w:position w:val="2"/>
          <w:sz w:val="12"/>
          <w:szCs w:val="12"/>
        </w:rPr>
        <w:t xml:space="preserve"> </w:t>
      </w:r>
      <w:r w:rsidRPr="00653E2F">
        <w:rPr>
          <w:rFonts w:ascii="ACaslonPro" w:eastAsia="Times New Roman" w:hAnsi="ACaslonPro" w:cs="Times New Roman"/>
          <w:sz w:val="20"/>
          <w:szCs w:val="20"/>
        </w:rPr>
        <w:t xml:space="preserve">Finally, remember your own basic needs. Testing centers tend to be cold. Pack a jacket or sweater. Check with the testing center to see if you are allowed to bring water or snacks. </w:t>
      </w:r>
    </w:p>
    <w:p w14:paraId="23208EA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2"/>
          <w:szCs w:val="22"/>
        </w:rPr>
        <w:t xml:space="preserve">Licensure Through Endorsement </w:t>
      </w:r>
    </w:p>
    <w:p w14:paraId="330D07E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Nurses licensed in one state may obtain a license in another state through the process of endorsement. Each application is considered independently and is granted a license based on the rules and regula- tions of the state. </w:t>
      </w:r>
    </w:p>
    <w:p w14:paraId="15F569C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States differ in the number of continuing educa- tion credits required, legal requirements, and other educational requirements. Some states require that nurses meet the current criteria for licensure at the time of application, whereas others may grant the license based on the criteria in effect at the time of the original licensure (Ellis &amp; Hartley, 2004). When applying for a license through endorsement, a nurse should always contact the board of nursing for the state and find out the exact requirements for licensure. This information can usually be found on the board of nursing Web site for that particular state. </w:t>
      </w:r>
    </w:p>
    <w:p w14:paraId="02E80C5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2"/>
          <w:szCs w:val="22"/>
        </w:rPr>
        <w:t xml:space="preserve">Multistate Licensure </w:t>
      </w:r>
    </w:p>
    <w:p w14:paraId="1B2DB0D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lastRenderedPageBreak/>
        <w:t xml:space="preserve">The concept of multistate licensure allows a nurse licensed in one state to practice in additional states without obtaining additional licenses. NCSBN created a Multistate Licensure Compact, now referred to as the Nurse Licensure Compact, that permits this practice. States that belong to the compact have passed legislation adopting the terms of this agreement and are known as party states (https://www.ncsbn.org/nlc.htm).The nurse’s home </w:t>
      </w:r>
    </w:p>
    <w:p w14:paraId="42E6A03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chapter </w:t>
      </w:r>
      <w:r w:rsidRPr="00653E2F">
        <w:rPr>
          <w:rFonts w:ascii="FuturaStd" w:eastAsia="Times New Roman" w:hAnsi="FuturaStd" w:cs="Times New Roman"/>
          <w:sz w:val="20"/>
          <w:szCs w:val="20"/>
        </w:rPr>
        <w:t xml:space="preserve">3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Nursing Practice and the Law </w:t>
      </w:r>
      <w:r w:rsidRPr="00653E2F">
        <w:rPr>
          <w:rFonts w:ascii="ACaslonPro" w:eastAsia="Times New Roman" w:hAnsi="ACaslonPro" w:cs="Times New Roman"/>
          <w:b/>
          <w:bCs/>
          <w:i/>
          <w:iCs/>
          <w:sz w:val="20"/>
          <w:szCs w:val="20"/>
        </w:rPr>
        <w:t xml:space="preserve">43 </w:t>
      </w:r>
    </w:p>
    <w:p w14:paraId="249C7874"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0"/>
          <w:szCs w:val="20"/>
        </w:rPr>
        <w:t xml:space="preserve">44 </w:t>
      </w:r>
      <w:r w:rsidRPr="00653E2F">
        <w:rPr>
          <w:rFonts w:ascii="FuturaStd" w:eastAsia="Times New Roman" w:hAnsi="FuturaStd" w:cs="Times New Roman"/>
          <w:sz w:val="16"/>
          <w:szCs w:val="16"/>
        </w:rPr>
        <w:t xml:space="preserve">unit </w:t>
      </w:r>
      <w:r w:rsidRPr="00653E2F">
        <w:rPr>
          <w:rFonts w:ascii="FuturaStd" w:eastAsia="Times New Roman" w:hAnsi="FuturaStd" w:cs="Times New Roman"/>
          <w:sz w:val="20"/>
          <w:szCs w:val="20"/>
        </w:rPr>
        <w:t xml:space="preserve">1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Professional Considerations </w:t>
      </w:r>
    </w:p>
    <w:p w14:paraId="21C5CF43"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state is the state where he or she lives and received his or her original license. Renewal of the license is completed in the home state. </w:t>
      </w:r>
    </w:p>
    <w:p w14:paraId="3CACFE01"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A nurse can hold only one home-state license. If the nurse moves to another state that belongs to the compact, the nurse applies for licensure within that state based on residency. The nurse is expected to follow the guidelines for nursing practice for that new state. The multistate licensure applies only to a basic registered nurse license, not to advanced practice. More information on multistate licensure can be found on the NCSBN Web site. </w:t>
      </w:r>
    </w:p>
    <w:p w14:paraId="53993CD6"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color w:val="075E68"/>
          <w:sz w:val="22"/>
          <w:szCs w:val="22"/>
        </w:rPr>
        <w:t xml:space="preserve">Disciplinary Action </w:t>
      </w:r>
    </w:p>
    <w:p w14:paraId="38BFBABB"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State boards of nursing maintain rules and regula- tions for the practice of nursing. These may be found in the state’s nurse practice acts. Violation of these regulations results in disciplinary actions as delineated by these boards. Issues of primary con- cern include but are not limited to the following: </w:t>
      </w:r>
    </w:p>
    <w:p w14:paraId="2E6B5B5F" w14:textId="77777777" w:rsidR="00653E2F" w:rsidRPr="00653E2F" w:rsidRDefault="00653E2F" w:rsidP="00653E2F">
      <w:pPr>
        <w:numPr>
          <w:ilvl w:val="0"/>
          <w:numId w:val="16"/>
        </w:numPr>
        <w:shd w:val="clear" w:color="auto" w:fill="FFFFFF"/>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Falsifying documents to obtain a license </w:t>
      </w:r>
    </w:p>
    <w:p w14:paraId="679D1145" w14:textId="77777777" w:rsidR="00653E2F" w:rsidRPr="00653E2F" w:rsidRDefault="00653E2F" w:rsidP="00653E2F">
      <w:pPr>
        <w:numPr>
          <w:ilvl w:val="0"/>
          <w:numId w:val="16"/>
        </w:numPr>
        <w:shd w:val="clear" w:color="auto" w:fill="FFFFFF"/>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Being convicted of a felony </w:t>
      </w:r>
    </w:p>
    <w:p w14:paraId="0FAC6208" w14:textId="77777777" w:rsidR="00653E2F" w:rsidRPr="00653E2F" w:rsidRDefault="00653E2F" w:rsidP="00653E2F">
      <w:pPr>
        <w:numPr>
          <w:ilvl w:val="0"/>
          <w:numId w:val="16"/>
        </w:numPr>
        <w:shd w:val="clear" w:color="auto" w:fill="FFFFFF"/>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Practicing while under the influence of drugs </w:t>
      </w:r>
    </w:p>
    <w:p w14:paraId="633977D7" w14:textId="77777777" w:rsidR="00653E2F" w:rsidRPr="00653E2F" w:rsidRDefault="00653E2F" w:rsidP="00653E2F">
      <w:pPr>
        <w:shd w:val="clear" w:color="auto" w:fill="FFFFFF"/>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or alcohol </w:t>
      </w:r>
    </w:p>
    <w:p w14:paraId="2EB75005" w14:textId="77777777" w:rsidR="00653E2F" w:rsidRPr="00653E2F" w:rsidRDefault="00653E2F" w:rsidP="00653E2F">
      <w:pPr>
        <w:numPr>
          <w:ilvl w:val="0"/>
          <w:numId w:val="16"/>
        </w:numPr>
        <w:shd w:val="clear" w:color="auto" w:fill="FFFFFF"/>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Functioning outside the scope of practice </w:t>
      </w:r>
    </w:p>
    <w:p w14:paraId="49858C49" w14:textId="77777777" w:rsidR="00653E2F" w:rsidRPr="00653E2F" w:rsidRDefault="00653E2F" w:rsidP="00653E2F">
      <w:pPr>
        <w:numPr>
          <w:ilvl w:val="0"/>
          <w:numId w:val="16"/>
        </w:numPr>
        <w:shd w:val="clear" w:color="auto" w:fill="FFFFFF"/>
        <w:spacing w:before="100" w:beforeAutospacing="1" w:after="100" w:afterAutospacing="1"/>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Engaging in child or elder abuse </w:t>
      </w:r>
    </w:p>
    <w:p w14:paraId="23639667" w14:textId="77777777" w:rsidR="00653E2F" w:rsidRPr="00653E2F" w:rsidRDefault="00653E2F" w:rsidP="00653E2F">
      <w:pPr>
        <w:shd w:val="clear" w:color="auto" w:fill="FFFFFF"/>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ACaslonPro" w:eastAsia="Times New Roman" w:hAnsi="ACaslonPro" w:cs="Times New Roman"/>
          <w:color w:val="0000FF"/>
          <w:position w:val="2"/>
          <w:sz w:val="20"/>
          <w:szCs w:val="20"/>
        </w:rPr>
        <w:t xml:space="preserve">Nurses convicted of a felony or found guilty in a malpractice action may find themselves before their </w:t>
      </w:r>
    </w:p>
    <w:p w14:paraId="3E8DA4A4" w14:textId="77777777" w:rsidR="00653E2F" w:rsidRPr="00653E2F" w:rsidRDefault="00653E2F" w:rsidP="00653E2F">
      <w:pPr>
        <w:shd w:val="clear" w:color="auto" w:fill="FFFFFF"/>
        <w:spacing w:before="100" w:beforeAutospacing="1" w:after="100" w:afterAutospacing="1"/>
        <w:ind w:left="720"/>
        <w:rPr>
          <w:rFonts w:ascii="ZapfDingbats" w:eastAsia="Times New Roman" w:hAnsi="ZapfDingbats" w:cs="Times New Roman"/>
          <w:color w:val="0000FF"/>
          <w:position w:val="2"/>
          <w:sz w:val="12"/>
          <w:szCs w:val="12"/>
        </w:rPr>
      </w:pPr>
      <w:r w:rsidRPr="00653E2F">
        <w:rPr>
          <w:rFonts w:ascii="FuturaStd" w:eastAsia="Times New Roman" w:hAnsi="FuturaStd" w:cs="Times New Roman"/>
          <w:b/>
          <w:bCs/>
          <w:color w:val="FFFFFF"/>
          <w:position w:val="2"/>
          <w:sz w:val="20"/>
          <w:szCs w:val="20"/>
        </w:rPr>
        <w:t xml:space="preserve">Study Questions </w:t>
      </w:r>
    </w:p>
    <w:p w14:paraId="5AF1FC65" w14:textId="77777777" w:rsidR="00653E2F" w:rsidRPr="00653E2F" w:rsidRDefault="00653E2F" w:rsidP="00653E2F">
      <w:pPr>
        <w:numPr>
          <w:ilvl w:val="1"/>
          <w:numId w:val="16"/>
        </w:numPr>
        <w:shd w:val="clear" w:color="auto" w:fill="FFFFFF"/>
        <w:spacing w:before="100" w:beforeAutospacing="1" w:after="100" w:afterAutospacing="1"/>
        <w:rPr>
          <w:rFonts w:ascii="FuturaStd" w:eastAsia="Times New Roman" w:hAnsi="FuturaStd" w:cs="Times New Roman"/>
          <w:b/>
          <w:bCs/>
          <w:color w:val="00FF00"/>
          <w:position w:val="2"/>
          <w:sz w:val="20"/>
          <w:szCs w:val="20"/>
        </w:rPr>
      </w:pPr>
      <w:r w:rsidRPr="00653E2F">
        <w:rPr>
          <w:rFonts w:ascii="ACaslonPro" w:eastAsia="Times New Roman" w:hAnsi="ACaslonPro" w:cs="Times New Roman"/>
          <w:b/>
          <w:bCs/>
          <w:color w:val="00FF00"/>
          <w:position w:val="2"/>
          <w:sz w:val="20"/>
          <w:szCs w:val="20"/>
        </w:rPr>
        <w:t xml:space="preserve">How do federal laws, court decisions, and state an example of each. </w:t>
      </w:r>
    </w:p>
    <w:p w14:paraId="106CA036" w14:textId="77777777" w:rsidR="00653E2F" w:rsidRPr="00653E2F" w:rsidRDefault="00653E2F" w:rsidP="00653E2F">
      <w:pPr>
        <w:numPr>
          <w:ilvl w:val="1"/>
          <w:numId w:val="16"/>
        </w:numPr>
        <w:shd w:val="clear" w:color="auto" w:fill="FFFFFF"/>
        <w:spacing w:before="100" w:beforeAutospacing="1" w:after="100" w:afterAutospacing="1"/>
        <w:rPr>
          <w:rFonts w:ascii="FuturaStd" w:eastAsia="Times New Roman" w:hAnsi="FuturaStd" w:cs="Times New Roman"/>
          <w:b/>
          <w:bCs/>
          <w:color w:val="00FF00"/>
          <w:position w:val="2"/>
          <w:sz w:val="20"/>
          <w:szCs w:val="20"/>
        </w:rPr>
      </w:pPr>
      <w:r w:rsidRPr="00653E2F">
        <w:rPr>
          <w:rFonts w:ascii="ACaslonPro" w:eastAsia="Times New Roman" w:hAnsi="ACaslonPro" w:cs="Times New Roman"/>
          <w:b/>
          <w:bCs/>
          <w:color w:val="00FF00"/>
          <w:position w:val="2"/>
          <w:sz w:val="20"/>
          <w:szCs w:val="20"/>
        </w:rPr>
        <w:t xml:space="preserve">Obtain a copy of the nurse practice act in your violation of the rules and regulations? </w:t>
      </w:r>
    </w:p>
    <w:p w14:paraId="324AF236"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state board of nursing or, in Canada, the provincial or territorial regulatory body. </w:t>
      </w:r>
    </w:p>
    <w:p w14:paraId="003ADD1C"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Disciplinary action may include but is not limited to the suspension or revocation of a nursing license, mandatory fines, and mandatory continu- ing education. For more information regarding the regulations that guide nursing practice, consult the board of nursing in your state or, in Canada, your provincial or territorial regulatory body. </w:t>
      </w:r>
    </w:p>
    <w:p w14:paraId="6D412654"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A30A00"/>
          <w:sz w:val="26"/>
          <w:szCs w:val="26"/>
        </w:rPr>
        <w:t xml:space="preserve">Conclusion </w:t>
      </w:r>
    </w:p>
    <w:p w14:paraId="77685655"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lastRenderedPageBreak/>
        <w:t xml:space="preserve">Nurses need to understand the legalities involved in the delivery of safe health care. It is important to know the standards of care established within your institution and the rules and regulations in the nurse practice acts of your state, province, or terri- tory because these are the standards to which you will be held accountable. Health-care consumers have a right to quality care and the expectation that all information regarding diagnosis and treatment will remain confidential. Nurses have an obligation to deliver quality care and respect client confiden- tiality. Caring for clients safely and avoiding legal difficulties require nurses to adhere to the expected standards of care and document changes in client status carefully. Licensure helps to ensure that health-care consumers are receiving competent and safe care from their nurses. </w:t>
      </w:r>
    </w:p>
    <w:p w14:paraId="78C4DFCE"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boards of nursing affect nursing practice? Give </w:t>
      </w:r>
    </w:p>
    <w:p w14:paraId="33CAD574"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state. What are some of the penalties for </w:t>
      </w:r>
    </w:p>
    <w:p w14:paraId="076B811C" w14:textId="087B04DE" w:rsidR="00653E2F" w:rsidRPr="00653E2F" w:rsidRDefault="00653E2F" w:rsidP="00653E2F">
      <w:pPr>
        <w:shd w:val="clear" w:color="auto" w:fill="FFFFFF"/>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"/var/folders/xx/b74wr1s110v7wd4fcc2vzqx80000gn/T/com.microsoft.Word/WebArchiveCopyPasteTempFiles/page57image37942400"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52BB0E1C" wp14:editId="74C6C4DB">
            <wp:extent cx="1068070" cy="2743200"/>
            <wp:effectExtent l="0" t="0" r="0" b="0"/>
            <wp:docPr id="5" name="Picture 5" descr="page57image3794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page57image379424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807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"/var/folders/xx/b74wr1s110v7wd4fcc2vzqx80000gn/T/com.microsoft.Word/WebArchiveCopyPasteTempFiles/page57image37942592"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6D192DD9" wp14:editId="690D55B7">
            <wp:extent cx="5586095" cy="180975"/>
            <wp:effectExtent l="0" t="0" r="0" b="0"/>
            <wp:docPr id="4" name="Picture 4" descr="page57image3794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age57image3794259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86095" cy="180975"/>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4244CAF7" w14:textId="77777777" w:rsidR="00653E2F" w:rsidRPr="00653E2F" w:rsidRDefault="00653E2F" w:rsidP="00653E2F">
      <w:pPr>
        <w:numPr>
          <w:ilvl w:val="0"/>
          <w:numId w:val="17"/>
        </w:numPr>
        <w:shd w:val="clear" w:color="auto" w:fill="FFFFFF"/>
        <w:spacing w:before="100" w:beforeAutospacing="1" w:after="100" w:afterAutospacing="1"/>
        <w:rPr>
          <w:rFonts w:ascii="FuturaStd" w:eastAsia="Times New Roman" w:hAnsi="FuturaStd" w:cs="Times New Roman"/>
          <w:b/>
          <w:bCs/>
          <w:color w:val="00FF00"/>
          <w:sz w:val="20"/>
          <w:szCs w:val="20"/>
        </w:rPr>
      </w:pPr>
      <w:r w:rsidRPr="00653E2F">
        <w:rPr>
          <w:rFonts w:ascii="ACaslonPro" w:eastAsia="Times New Roman" w:hAnsi="ACaslonPro" w:cs="Times New Roman"/>
          <w:b/>
          <w:bCs/>
          <w:color w:val="00FF00"/>
          <w:sz w:val="20"/>
          <w:szCs w:val="20"/>
        </w:rPr>
        <w:t xml:space="preserve">Review the minutes and/or documents of a state board meeting. What were the most common issues for nurses to be called before the board of nursing? What were the resulting disciplinary actions? </w:t>
      </w:r>
    </w:p>
    <w:p w14:paraId="642B3D9F" w14:textId="77777777" w:rsidR="00653E2F" w:rsidRPr="00653E2F" w:rsidRDefault="00653E2F" w:rsidP="00653E2F">
      <w:pPr>
        <w:numPr>
          <w:ilvl w:val="0"/>
          <w:numId w:val="17"/>
        </w:numPr>
        <w:shd w:val="clear" w:color="auto" w:fill="FFFFFF"/>
        <w:spacing w:before="100" w:beforeAutospacing="1" w:after="100" w:afterAutospacing="1"/>
        <w:rPr>
          <w:rFonts w:ascii="FuturaStd" w:eastAsia="Times New Roman" w:hAnsi="FuturaStd" w:cs="Times New Roman"/>
          <w:b/>
          <w:bCs/>
          <w:color w:val="00FF00"/>
          <w:sz w:val="20"/>
          <w:szCs w:val="20"/>
        </w:rPr>
      </w:pPr>
      <w:r w:rsidRPr="00653E2F">
        <w:rPr>
          <w:rFonts w:ascii="ACaslonPro" w:eastAsia="Times New Roman" w:hAnsi="ACaslonPro" w:cs="Times New Roman"/>
          <w:b/>
          <w:bCs/>
          <w:color w:val="00FF00"/>
          <w:sz w:val="20"/>
          <w:szCs w:val="20"/>
        </w:rPr>
        <w:t xml:space="preserve">The next time you are on your clinical unit, look at the nursing documentation done by several different staff members. Do you believe it is adequate? Explain your rationale. </w:t>
      </w:r>
    </w:p>
    <w:p w14:paraId="69E7D912" w14:textId="77777777" w:rsidR="00653E2F" w:rsidRPr="00653E2F" w:rsidRDefault="00653E2F" w:rsidP="00653E2F">
      <w:pPr>
        <w:numPr>
          <w:ilvl w:val="0"/>
          <w:numId w:val="17"/>
        </w:numPr>
        <w:shd w:val="clear" w:color="auto" w:fill="FFFFFF"/>
        <w:spacing w:before="100" w:beforeAutospacing="1" w:after="100" w:afterAutospacing="1"/>
        <w:rPr>
          <w:rFonts w:ascii="FuturaStd" w:eastAsia="Times New Roman" w:hAnsi="FuturaStd" w:cs="Times New Roman"/>
          <w:b/>
          <w:bCs/>
          <w:color w:val="00FF00"/>
          <w:sz w:val="20"/>
          <w:szCs w:val="20"/>
        </w:rPr>
      </w:pPr>
      <w:r w:rsidRPr="00653E2F">
        <w:rPr>
          <w:rFonts w:ascii="ACaslonPro" w:eastAsia="Times New Roman" w:hAnsi="ACaslonPro" w:cs="Times New Roman"/>
          <w:b/>
          <w:bCs/>
          <w:color w:val="00FF00"/>
          <w:sz w:val="20"/>
          <w:szCs w:val="20"/>
        </w:rPr>
        <w:t xml:space="preserve">How does your clinical institution handle medication errors? </w:t>
      </w:r>
    </w:p>
    <w:p w14:paraId="7E7F7F59" w14:textId="77777777" w:rsidR="00653E2F" w:rsidRPr="00653E2F" w:rsidRDefault="00653E2F" w:rsidP="00653E2F">
      <w:pPr>
        <w:numPr>
          <w:ilvl w:val="0"/>
          <w:numId w:val="17"/>
        </w:numPr>
        <w:shd w:val="clear" w:color="auto" w:fill="FFFFFF"/>
        <w:spacing w:before="100" w:beforeAutospacing="1" w:after="100" w:afterAutospacing="1"/>
        <w:rPr>
          <w:rFonts w:ascii="FuturaStd" w:eastAsia="Times New Roman" w:hAnsi="FuturaStd" w:cs="Times New Roman"/>
          <w:b/>
          <w:bCs/>
          <w:color w:val="00FF00"/>
          <w:sz w:val="20"/>
          <w:szCs w:val="20"/>
        </w:rPr>
      </w:pPr>
      <w:r w:rsidRPr="00653E2F">
        <w:rPr>
          <w:rFonts w:ascii="ACaslonPro" w:eastAsia="Times New Roman" w:hAnsi="ACaslonPro" w:cs="Times New Roman"/>
          <w:b/>
          <w:bCs/>
          <w:color w:val="00FF00"/>
          <w:sz w:val="20"/>
          <w:szCs w:val="20"/>
        </w:rPr>
        <w:t xml:space="preserve">If a nurse is found to be less than proficient in the delivery of safe care, how should the nurse </w:t>
      </w:r>
    </w:p>
    <w:p w14:paraId="7C45642D" w14:textId="77777777" w:rsidR="00653E2F" w:rsidRPr="00653E2F" w:rsidRDefault="00653E2F" w:rsidP="00653E2F">
      <w:pPr>
        <w:shd w:val="clear" w:color="auto" w:fill="FFFFFF"/>
        <w:spacing w:before="100" w:beforeAutospacing="1" w:after="100" w:afterAutospacing="1"/>
        <w:ind w:left="720"/>
        <w:rPr>
          <w:rFonts w:ascii="FuturaStd" w:eastAsia="Times New Roman" w:hAnsi="FuturaStd" w:cs="Times New Roman"/>
          <w:b/>
          <w:bCs/>
          <w:color w:val="00FF00"/>
          <w:sz w:val="20"/>
          <w:szCs w:val="20"/>
        </w:rPr>
      </w:pPr>
      <w:r w:rsidRPr="00653E2F">
        <w:rPr>
          <w:rFonts w:ascii="ACaslonPro" w:eastAsia="Times New Roman" w:hAnsi="ACaslonPro" w:cs="Times New Roman"/>
          <w:b/>
          <w:bCs/>
          <w:color w:val="00FF00"/>
          <w:sz w:val="20"/>
          <w:szCs w:val="20"/>
        </w:rPr>
        <w:t xml:space="preserve">manager remedy the situation? </w:t>
      </w:r>
    </w:p>
    <w:p w14:paraId="0D211374" w14:textId="77777777" w:rsidR="00653E2F" w:rsidRPr="00653E2F" w:rsidRDefault="00653E2F" w:rsidP="00653E2F">
      <w:pPr>
        <w:numPr>
          <w:ilvl w:val="0"/>
          <w:numId w:val="17"/>
        </w:numPr>
        <w:shd w:val="clear" w:color="auto" w:fill="FFFFFF"/>
        <w:spacing w:before="100" w:beforeAutospacing="1" w:after="100" w:afterAutospacing="1"/>
        <w:rPr>
          <w:rFonts w:ascii="FuturaStd" w:eastAsia="Times New Roman" w:hAnsi="FuturaStd" w:cs="Times New Roman"/>
          <w:b/>
          <w:bCs/>
          <w:color w:val="00FF00"/>
          <w:sz w:val="20"/>
          <w:szCs w:val="20"/>
        </w:rPr>
      </w:pPr>
      <w:r w:rsidRPr="00653E2F">
        <w:rPr>
          <w:rFonts w:ascii="ACaslonPro" w:eastAsia="Times New Roman" w:hAnsi="ACaslonPro" w:cs="Times New Roman"/>
          <w:b/>
          <w:bCs/>
          <w:color w:val="00FF00"/>
          <w:sz w:val="20"/>
          <w:szCs w:val="20"/>
        </w:rPr>
        <w:t xml:space="preserve">Discuss where appropriate standards of care may be found. Explain whether each is an example of an internal or external standard of care. </w:t>
      </w:r>
    </w:p>
    <w:p w14:paraId="48F3FB6B"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chapter </w:t>
      </w:r>
      <w:r w:rsidRPr="00653E2F">
        <w:rPr>
          <w:rFonts w:ascii="FuturaStd" w:eastAsia="Times New Roman" w:hAnsi="FuturaStd" w:cs="Times New Roman"/>
          <w:sz w:val="20"/>
          <w:szCs w:val="20"/>
        </w:rPr>
        <w:t xml:space="preserve">3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Nursing Practice and the Law </w:t>
      </w:r>
      <w:r w:rsidRPr="00653E2F">
        <w:rPr>
          <w:rFonts w:ascii="ACaslonPro" w:eastAsia="Times New Roman" w:hAnsi="ACaslonPro" w:cs="Times New Roman"/>
          <w:b/>
          <w:bCs/>
          <w:i/>
          <w:iCs/>
          <w:sz w:val="20"/>
          <w:szCs w:val="20"/>
        </w:rPr>
        <w:t xml:space="preserve">45 </w:t>
      </w:r>
    </w:p>
    <w:p w14:paraId="53010D23" w14:textId="77777777" w:rsidR="00653E2F" w:rsidRPr="00653E2F" w:rsidRDefault="00653E2F" w:rsidP="00653E2F">
      <w:pPr>
        <w:numPr>
          <w:ilvl w:val="0"/>
          <w:numId w:val="18"/>
        </w:numPr>
        <w:shd w:val="clear" w:color="auto" w:fill="FFFFFF"/>
        <w:spacing w:before="100" w:beforeAutospacing="1" w:after="100" w:afterAutospacing="1"/>
        <w:rPr>
          <w:rFonts w:ascii="FuturaStd" w:eastAsia="Times New Roman" w:hAnsi="FuturaStd" w:cs="Times New Roman"/>
          <w:b/>
          <w:bCs/>
          <w:color w:val="00FF00"/>
          <w:sz w:val="20"/>
          <w:szCs w:val="20"/>
        </w:rPr>
      </w:pPr>
      <w:r w:rsidRPr="00653E2F">
        <w:rPr>
          <w:rFonts w:ascii="ACaslonPro" w:eastAsia="Times New Roman" w:hAnsi="ACaslonPro" w:cs="Times New Roman"/>
          <w:b/>
          <w:bCs/>
          <w:color w:val="00FF00"/>
          <w:sz w:val="20"/>
          <w:szCs w:val="20"/>
        </w:rPr>
        <w:t xml:space="preserve">Explain the importance of federal agencies in setting standards of care in health-care </w:t>
      </w:r>
    </w:p>
    <w:p w14:paraId="6A61ECAD" w14:textId="77777777" w:rsidR="00653E2F" w:rsidRPr="00653E2F" w:rsidRDefault="00653E2F" w:rsidP="00653E2F">
      <w:pPr>
        <w:shd w:val="clear" w:color="auto" w:fill="FFFFFF"/>
        <w:spacing w:before="100" w:beforeAutospacing="1" w:after="100" w:afterAutospacing="1"/>
        <w:ind w:left="720"/>
        <w:rPr>
          <w:rFonts w:ascii="FuturaStd" w:eastAsia="Times New Roman" w:hAnsi="FuturaStd" w:cs="Times New Roman"/>
          <w:b/>
          <w:bCs/>
          <w:color w:val="00FF00"/>
          <w:sz w:val="20"/>
          <w:szCs w:val="20"/>
        </w:rPr>
      </w:pPr>
      <w:r w:rsidRPr="00653E2F">
        <w:rPr>
          <w:rFonts w:ascii="ACaslonPro" w:eastAsia="Times New Roman" w:hAnsi="ACaslonPro" w:cs="Times New Roman"/>
          <w:b/>
          <w:bCs/>
          <w:color w:val="00FF00"/>
          <w:sz w:val="20"/>
          <w:szCs w:val="20"/>
        </w:rPr>
        <w:t xml:space="preserve">institutions. </w:t>
      </w:r>
    </w:p>
    <w:p w14:paraId="49C19771" w14:textId="77777777" w:rsidR="00653E2F" w:rsidRPr="00653E2F" w:rsidRDefault="00653E2F" w:rsidP="00653E2F">
      <w:pPr>
        <w:numPr>
          <w:ilvl w:val="0"/>
          <w:numId w:val="18"/>
        </w:numPr>
        <w:shd w:val="clear" w:color="auto" w:fill="FFFFFF"/>
        <w:spacing w:before="100" w:beforeAutospacing="1" w:after="100" w:afterAutospacing="1"/>
        <w:rPr>
          <w:rFonts w:ascii="FuturaStd" w:eastAsia="Times New Roman" w:hAnsi="FuturaStd" w:cs="Times New Roman"/>
          <w:b/>
          <w:bCs/>
          <w:color w:val="00FF00"/>
          <w:sz w:val="20"/>
          <w:szCs w:val="20"/>
        </w:rPr>
      </w:pPr>
      <w:r w:rsidRPr="00653E2F">
        <w:rPr>
          <w:rFonts w:ascii="ACaslonPro" w:eastAsia="Times New Roman" w:hAnsi="ACaslonPro" w:cs="Times New Roman"/>
          <w:b/>
          <w:bCs/>
          <w:color w:val="00FF00"/>
          <w:sz w:val="20"/>
          <w:szCs w:val="20"/>
        </w:rPr>
        <w:lastRenderedPageBreak/>
        <w:t xml:space="preserve">What is the difference between consent and informed consent? </w:t>
      </w:r>
    </w:p>
    <w:p w14:paraId="22DBA7CA" w14:textId="77777777" w:rsidR="00653E2F" w:rsidRPr="00653E2F" w:rsidRDefault="00653E2F" w:rsidP="00653E2F">
      <w:pPr>
        <w:numPr>
          <w:ilvl w:val="0"/>
          <w:numId w:val="18"/>
        </w:numPr>
        <w:shd w:val="clear" w:color="auto" w:fill="FFFFFF"/>
        <w:spacing w:before="100" w:beforeAutospacing="1" w:after="100" w:afterAutospacing="1"/>
        <w:rPr>
          <w:rFonts w:ascii="FuturaStd" w:eastAsia="Times New Roman" w:hAnsi="FuturaStd" w:cs="Times New Roman"/>
          <w:b/>
          <w:bCs/>
          <w:color w:val="00FF00"/>
          <w:sz w:val="20"/>
          <w:szCs w:val="20"/>
        </w:rPr>
      </w:pPr>
      <w:r w:rsidRPr="00653E2F">
        <w:rPr>
          <w:rFonts w:ascii="ACaslonPro" w:eastAsia="Times New Roman" w:hAnsi="ACaslonPro" w:cs="Times New Roman"/>
          <w:b/>
          <w:bCs/>
          <w:color w:val="00FF00"/>
          <w:sz w:val="20"/>
          <w:szCs w:val="20"/>
        </w:rPr>
        <w:t xml:space="preserve">Look at the forms for advance directives and DNR policies in your institution. Do they follow the guidelines of the Patient Self-Determination Act? </w:t>
      </w:r>
    </w:p>
    <w:p w14:paraId="5FC0ACC6" w14:textId="77777777" w:rsidR="00653E2F" w:rsidRPr="00653E2F" w:rsidRDefault="00653E2F" w:rsidP="00653E2F">
      <w:pPr>
        <w:numPr>
          <w:ilvl w:val="0"/>
          <w:numId w:val="18"/>
        </w:numPr>
        <w:shd w:val="clear" w:color="auto" w:fill="FFFFFF"/>
        <w:spacing w:before="100" w:beforeAutospacing="1" w:after="100" w:afterAutospacing="1"/>
        <w:rPr>
          <w:rFonts w:ascii="FuturaStd" w:eastAsia="Times New Roman" w:hAnsi="FuturaStd" w:cs="Times New Roman"/>
          <w:b/>
          <w:bCs/>
          <w:color w:val="00FF00"/>
          <w:sz w:val="20"/>
          <w:szCs w:val="20"/>
        </w:rPr>
      </w:pPr>
      <w:r w:rsidRPr="00653E2F">
        <w:rPr>
          <w:rFonts w:ascii="ACaslonPro" w:eastAsia="Times New Roman" w:hAnsi="ACaslonPro" w:cs="Times New Roman"/>
          <w:b/>
          <w:bCs/>
          <w:color w:val="00FF00"/>
          <w:sz w:val="20"/>
          <w:szCs w:val="20"/>
        </w:rPr>
        <w:t xml:space="preserve">What are the most common errors nurses commit that lead to negligence and/or malpractice? </w:t>
      </w:r>
    </w:p>
    <w:p w14:paraId="7DB11133" w14:textId="77777777" w:rsidR="00653E2F" w:rsidRPr="00653E2F" w:rsidRDefault="00653E2F" w:rsidP="00653E2F">
      <w:pPr>
        <w:numPr>
          <w:ilvl w:val="0"/>
          <w:numId w:val="18"/>
        </w:numPr>
        <w:shd w:val="clear" w:color="auto" w:fill="FFFFFF"/>
        <w:spacing w:before="100" w:beforeAutospacing="1" w:after="100" w:afterAutospacing="1"/>
        <w:rPr>
          <w:rFonts w:ascii="FuturaStd" w:eastAsia="Times New Roman" w:hAnsi="FuturaStd" w:cs="Times New Roman"/>
          <w:b/>
          <w:bCs/>
          <w:color w:val="00FF00"/>
          <w:sz w:val="20"/>
          <w:szCs w:val="20"/>
        </w:rPr>
      </w:pPr>
      <w:r w:rsidRPr="00653E2F">
        <w:rPr>
          <w:rFonts w:ascii="ACaslonPro" w:eastAsia="Times New Roman" w:hAnsi="ACaslonPro" w:cs="Times New Roman"/>
          <w:b/>
          <w:bCs/>
          <w:color w:val="00FF00"/>
          <w:sz w:val="20"/>
          <w:szCs w:val="20"/>
        </w:rPr>
        <w:t xml:space="preserve">What impact would a law that prevents mandatory overtime have on nurses, nursing care, and </w:t>
      </w:r>
    </w:p>
    <w:p w14:paraId="0CEDD99A" w14:textId="77777777" w:rsidR="00653E2F" w:rsidRPr="00653E2F" w:rsidRDefault="00653E2F" w:rsidP="00653E2F">
      <w:pPr>
        <w:shd w:val="clear" w:color="auto" w:fill="FFFFFF"/>
        <w:spacing w:before="100" w:beforeAutospacing="1" w:after="100" w:afterAutospacing="1"/>
        <w:ind w:left="720"/>
        <w:rPr>
          <w:rFonts w:ascii="FuturaStd" w:eastAsia="Times New Roman" w:hAnsi="FuturaStd" w:cs="Times New Roman"/>
          <w:b/>
          <w:bCs/>
          <w:color w:val="00FF00"/>
          <w:sz w:val="20"/>
          <w:szCs w:val="20"/>
        </w:rPr>
      </w:pPr>
      <w:r w:rsidRPr="00653E2F">
        <w:rPr>
          <w:rFonts w:ascii="ACaslonPro" w:eastAsia="Times New Roman" w:hAnsi="ACaslonPro" w:cs="Times New Roman"/>
          <w:b/>
          <w:bCs/>
          <w:color w:val="00FF00"/>
          <w:sz w:val="20"/>
          <w:szCs w:val="20"/>
        </w:rPr>
        <w:t xml:space="preserve">the health-care industry? Find out if your state has mandatory overtime legislation. </w:t>
      </w:r>
    </w:p>
    <w:p w14:paraId="1BC19707"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FFFFFF"/>
          <w:sz w:val="20"/>
          <w:szCs w:val="20"/>
        </w:rPr>
        <w:t xml:space="preserve">Case Study to Promote Critical Reasoning </w:t>
      </w:r>
    </w:p>
    <w:p w14:paraId="6CCBB637"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Mr. Evans, 40 years old, was admitted to the hospital’s medical-surgical unit from the emergency department with a diagnosis of acute abdomen. He had a 20-year history of Crohn’s disease and had been on prednisone, 20 mg, every day for the past year. Three months ago he was started on the new biological agent etanercept, 50 mg, subcutaneously every week. His last dose was 4 days ago. Because he was allowed nothing by mouth (NPO), total parenteral nutrition was started through a triple-lumen central venous catheter line, and his steroids were changed to Solu-Medrol, 60 mg, by intravenous (IV) push every 6 hours. He was also receiving several IV antibiotics and medication for pain and nausea. </w:t>
      </w:r>
    </w:p>
    <w:p w14:paraId="5E1A518B"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Over the next 3 days, his condition worsened. He was in severe pain and needed more analgesics. One evening at 9 p.m., it was discovered that his central venous catheter line was out. The registered nurse notified the physician, who stated that a surgeon would come in the morning to replace it. The nurse failed to ask the physician what to do about the IV steroids, antibiotics, and fluid replacement; the client was still NPO. She also failed to ask about the etanercept. At</w:t>
      </w:r>
      <w:r w:rsidRPr="00653E2F">
        <w:rPr>
          <w:rFonts w:ascii="ACaslonPro" w:eastAsia="Times New Roman" w:hAnsi="ACaslonPro" w:cs="Times New Roman"/>
          <w:sz w:val="20"/>
          <w:szCs w:val="20"/>
        </w:rPr>
        <w:br/>
        <w:t xml:space="preserve">7 a.m., the night nurse noticed that the client had had no urinary output since 11 p.m. the night before. She documented that the client had no urinary output but forgot to report this information to the nurse assuming care responsibilities on the day shift. </w:t>
      </w:r>
    </w:p>
    <w:p w14:paraId="32B71B30"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The client’s physician made rounds at 9 a.m. The nurse for Mr. Evans did not discuss the fact that the client had not voided since 11 p.m., did not request orders for alternative delivery of the steroids and antibiotics, and did not ask about administering the etanercept. At 5 p.m. that evening, while Mr. Evans was having a computed tomography scan, his blood pressure dropped to 70 mm Hg, and because no one was in the scan room with him, he coded. He was transported to the ICU and intubated. He developed severe sepsis and acute respiratory distress syndrome. </w:t>
      </w:r>
    </w:p>
    <w:p w14:paraId="359AC42C" w14:textId="77777777" w:rsidR="00653E2F" w:rsidRPr="00653E2F" w:rsidRDefault="00653E2F" w:rsidP="00653E2F">
      <w:pPr>
        <w:numPr>
          <w:ilvl w:val="0"/>
          <w:numId w:val="19"/>
        </w:numPr>
        <w:shd w:val="clear" w:color="auto" w:fill="FFFFFF"/>
        <w:spacing w:before="100" w:beforeAutospacing="1" w:after="100" w:afterAutospacing="1"/>
        <w:rPr>
          <w:rFonts w:ascii="FuturaStd" w:eastAsia="Times New Roman" w:hAnsi="FuturaStd" w:cs="Times New Roman"/>
          <w:b/>
          <w:bCs/>
          <w:color w:val="FF0033"/>
          <w:sz w:val="20"/>
          <w:szCs w:val="20"/>
        </w:rPr>
      </w:pPr>
      <w:r w:rsidRPr="00653E2F">
        <w:rPr>
          <w:rFonts w:ascii="ACaslonPro" w:eastAsia="Times New Roman" w:hAnsi="ACaslonPro" w:cs="Times New Roman"/>
          <w:b/>
          <w:bCs/>
          <w:color w:val="FF0033"/>
          <w:sz w:val="20"/>
          <w:szCs w:val="20"/>
        </w:rPr>
        <w:t xml:space="preserve">List all the problems you can find with the nursing care in this case. </w:t>
      </w:r>
    </w:p>
    <w:p w14:paraId="0D64AD9F" w14:textId="77777777" w:rsidR="00653E2F" w:rsidRPr="00653E2F" w:rsidRDefault="00653E2F" w:rsidP="00653E2F">
      <w:pPr>
        <w:numPr>
          <w:ilvl w:val="0"/>
          <w:numId w:val="19"/>
        </w:numPr>
        <w:shd w:val="clear" w:color="auto" w:fill="FFFFFF"/>
        <w:spacing w:before="100" w:beforeAutospacing="1" w:after="100" w:afterAutospacing="1"/>
        <w:rPr>
          <w:rFonts w:ascii="FuturaStd" w:eastAsia="Times New Roman" w:hAnsi="FuturaStd" w:cs="Times New Roman"/>
          <w:b/>
          <w:bCs/>
          <w:color w:val="FF0033"/>
          <w:sz w:val="20"/>
          <w:szCs w:val="20"/>
        </w:rPr>
      </w:pPr>
      <w:r w:rsidRPr="00653E2F">
        <w:rPr>
          <w:rFonts w:ascii="ACaslonPro" w:eastAsia="Times New Roman" w:hAnsi="ACaslonPro" w:cs="Times New Roman"/>
          <w:b/>
          <w:bCs/>
          <w:color w:val="FF0033"/>
          <w:sz w:val="20"/>
          <w:szCs w:val="20"/>
        </w:rPr>
        <w:t xml:space="preserve">What were the nursing responsibilities in reporting information? </w:t>
      </w:r>
    </w:p>
    <w:p w14:paraId="6A6553DF" w14:textId="77777777" w:rsidR="00653E2F" w:rsidRPr="00653E2F" w:rsidRDefault="00653E2F" w:rsidP="00653E2F">
      <w:pPr>
        <w:numPr>
          <w:ilvl w:val="0"/>
          <w:numId w:val="19"/>
        </w:numPr>
        <w:shd w:val="clear" w:color="auto" w:fill="FFFFFF"/>
        <w:spacing w:before="100" w:beforeAutospacing="1" w:after="100" w:afterAutospacing="1"/>
        <w:rPr>
          <w:rFonts w:ascii="FuturaStd" w:eastAsia="Times New Roman" w:hAnsi="FuturaStd" w:cs="Times New Roman"/>
          <w:b/>
          <w:bCs/>
          <w:color w:val="FF0033"/>
          <w:sz w:val="20"/>
          <w:szCs w:val="20"/>
        </w:rPr>
      </w:pPr>
      <w:r w:rsidRPr="00653E2F">
        <w:rPr>
          <w:rFonts w:ascii="ACaslonPro" w:eastAsia="Times New Roman" w:hAnsi="ACaslonPro" w:cs="Times New Roman"/>
          <w:b/>
          <w:bCs/>
          <w:color w:val="FF0033"/>
          <w:sz w:val="20"/>
          <w:szCs w:val="20"/>
        </w:rPr>
        <w:t xml:space="preserve">What do you think was the possible cause of the drop in Mr. Evans’ blood pressure and his subsequent code? </w:t>
      </w:r>
    </w:p>
    <w:p w14:paraId="4C4F8B2C" w14:textId="77777777" w:rsidR="00653E2F" w:rsidRPr="00653E2F" w:rsidRDefault="00653E2F" w:rsidP="00653E2F">
      <w:pPr>
        <w:numPr>
          <w:ilvl w:val="0"/>
          <w:numId w:val="19"/>
        </w:numPr>
        <w:shd w:val="clear" w:color="auto" w:fill="FFFFFF"/>
        <w:spacing w:before="100" w:beforeAutospacing="1" w:after="100" w:afterAutospacing="1"/>
        <w:rPr>
          <w:rFonts w:ascii="FuturaStd" w:eastAsia="Times New Roman" w:hAnsi="FuturaStd" w:cs="Times New Roman"/>
          <w:b/>
          <w:bCs/>
          <w:color w:val="FF0033"/>
          <w:sz w:val="20"/>
          <w:szCs w:val="20"/>
        </w:rPr>
      </w:pPr>
      <w:r w:rsidRPr="00653E2F">
        <w:rPr>
          <w:rFonts w:ascii="ACaslonPro" w:eastAsia="Times New Roman" w:hAnsi="ACaslonPro" w:cs="Times New Roman"/>
          <w:b/>
          <w:bCs/>
          <w:color w:val="FF0033"/>
          <w:sz w:val="20"/>
          <w:szCs w:val="20"/>
        </w:rPr>
        <w:t xml:space="preserve">If you worked in risk management, how would you discuss this situation with the nurse manager and the staff? </w:t>
      </w:r>
    </w:p>
    <w:p w14:paraId="229AE5D0" w14:textId="477FEDD3" w:rsidR="00653E2F" w:rsidRPr="00653E2F" w:rsidRDefault="00653E2F" w:rsidP="00653E2F">
      <w:pPr>
        <w:shd w:val="clear" w:color="auto" w:fill="FFFFFF"/>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"/var/folders/xx/b74wr1s110v7wd4fcc2vzqx80000gn/T/com.microsoft.Word/WebArchiveCopyPasteTempFiles/page58image37898112"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7A00CA53" wp14:editId="5B0770D1">
            <wp:extent cx="5586095" cy="180975"/>
            <wp:effectExtent l="0" t="0" r="0" b="0"/>
            <wp:docPr id="3" name="Picture 3" descr="page58image37898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page58image378981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86095" cy="180975"/>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2B6F1356"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b/>
          <w:bCs/>
          <w:i/>
          <w:iCs/>
          <w:sz w:val="20"/>
          <w:szCs w:val="20"/>
        </w:rPr>
        <w:t xml:space="preserve">46 </w:t>
      </w:r>
    </w:p>
    <w:p w14:paraId="5F459B9D"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unit </w:t>
      </w:r>
      <w:r w:rsidRPr="00653E2F">
        <w:rPr>
          <w:rFonts w:ascii="FuturaStd" w:eastAsia="Times New Roman" w:hAnsi="FuturaStd" w:cs="Times New Roman"/>
          <w:sz w:val="20"/>
          <w:szCs w:val="20"/>
        </w:rPr>
        <w:t xml:space="preserve">1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Professional Considerations</w:t>
      </w:r>
      <w:r w:rsidRPr="00653E2F">
        <w:rPr>
          <w:rFonts w:ascii="MinionPro" w:eastAsia="Times New Roman" w:hAnsi="MinionPro" w:cs="Times New Roman"/>
          <w:sz w:val="20"/>
          <w:szCs w:val="20"/>
        </w:rPr>
        <w:br/>
      </w:r>
      <w:r w:rsidRPr="00653E2F">
        <w:rPr>
          <w:rFonts w:ascii="FuturaStd" w:eastAsia="Times New Roman" w:hAnsi="FuturaStd" w:cs="Times New Roman"/>
          <w:b/>
          <w:bCs/>
          <w:color w:val="FFFFFF"/>
          <w:sz w:val="20"/>
          <w:szCs w:val="20"/>
        </w:rPr>
        <w:t xml:space="preserve">Case Study on Mandatory Overtime </w:t>
      </w:r>
    </w:p>
    <w:p w14:paraId="0C6FB9EB"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ACaslonPro" w:eastAsia="Times New Roman" w:hAnsi="ACaslonPro" w:cs="Times New Roman"/>
          <w:sz w:val="20"/>
          <w:szCs w:val="20"/>
        </w:rPr>
        <w:t xml:space="preserve">Juan was completing his charting on his three babies in the neonatal intensive care unit. He had just finished orientation and this was his third day working. He was very tired and looking forward to his time off the next several days. Usually the nurse-to-baby ratio in the NICU was 1:2; however, the unit had been running short </w:t>
      </w:r>
      <w:r w:rsidRPr="00653E2F">
        <w:rPr>
          <w:rFonts w:ascii="ACaslonPro" w:eastAsia="Times New Roman" w:hAnsi="ACaslonPro" w:cs="Times New Roman"/>
          <w:sz w:val="20"/>
          <w:szCs w:val="20"/>
        </w:rPr>
        <w:lastRenderedPageBreak/>
        <w:t xml:space="preserve">staffed and each nurse assumed additional patient responsibilities. Prior to him giving report, Juan’s nurse manager came to him and stated, “Ada called in sick. We do not have anyone else to cover the unit and we are under our nurse-to-patient ratio. I need you to stay and work today.” When Juan protested that he had already worked three 12-hour shifts and one 8-hour shift, the nurse manager told him that if he refused, she could “fire him” and report him for patient abandonment. </w:t>
      </w:r>
    </w:p>
    <w:p w14:paraId="353C24B8" w14:textId="77777777" w:rsidR="00653E2F" w:rsidRPr="00653E2F" w:rsidRDefault="00653E2F" w:rsidP="00653E2F">
      <w:pPr>
        <w:shd w:val="clear" w:color="auto" w:fill="FFFFFF"/>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b/>
          <w:bCs/>
          <w:color w:val="FF0033"/>
          <w:sz w:val="20"/>
          <w:szCs w:val="20"/>
        </w:rPr>
        <w:t xml:space="preserve">1. </w:t>
      </w:r>
      <w:r w:rsidRPr="00653E2F">
        <w:rPr>
          <w:rFonts w:ascii="ACaslonPro" w:eastAsia="Times New Roman" w:hAnsi="ACaslonPro" w:cs="Times New Roman"/>
          <w:sz w:val="20"/>
          <w:szCs w:val="20"/>
        </w:rPr>
        <w:t>If you were Juan, how would you respond to the nurse manager?</w:t>
      </w:r>
      <w:r w:rsidRPr="00653E2F">
        <w:rPr>
          <w:rFonts w:ascii="ACaslonPro" w:eastAsia="Times New Roman" w:hAnsi="ACaslonPro" w:cs="Times New Roman"/>
          <w:sz w:val="20"/>
          <w:szCs w:val="20"/>
        </w:rPr>
        <w:br/>
      </w:r>
      <w:r w:rsidRPr="00653E2F">
        <w:rPr>
          <w:rFonts w:ascii="FuturaStd" w:eastAsia="Times New Roman" w:hAnsi="FuturaStd" w:cs="Times New Roman"/>
          <w:b/>
          <w:bCs/>
          <w:color w:val="FF0033"/>
          <w:sz w:val="20"/>
          <w:szCs w:val="20"/>
        </w:rPr>
        <w:t xml:space="preserve">2. </w:t>
      </w:r>
      <w:r w:rsidRPr="00653E2F">
        <w:rPr>
          <w:rFonts w:ascii="ACaslonPro" w:eastAsia="Times New Roman" w:hAnsi="ACaslonPro" w:cs="Times New Roman"/>
          <w:sz w:val="20"/>
          <w:szCs w:val="20"/>
        </w:rPr>
        <w:t>What options does Juan have in this situation?</w:t>
      </w:r>
      <w:r w:rsidRPr="00653E2F">
        <w:rPr>
          <w:rFonts w:ascii="ACaslonPro" w:eastAsia="Times New Roman" w:hAnsi="ACaslonPro" w:cs="Times New Roman"/>
          <w:sz w:val="20"/>
          <w:szCs w:val="20"/>
        </w:rPr>
        <w:br/>
      </w:r>
      <w:r w:rsidRPr="00653E2F">
        <w:rPr>
          <w:rFonts w:ascii="FuturaStd" w:eastAsia="Times New Roman" w:hAnsi="FuturaStd" w:cs="Times New Roman"/>
          <w:b/>
          <w:bCs/>
          <w:color w:val="FF0033"/>
          <w:sz w:val="20"/>
          <w:szCs w:val="20"/>
        </w:rPr>
        <w:t xml:space="preserve">3. </w:t>
      </w:r>
      <w:r w:rsidRPr="00653E2F">
        <w:rPr>
          <w:rFonts w:ascii="ACaslonPro" w:eastAsia="Times New Roman" w:hAnsi="ACaslonPro" w:cs="Times New Roman"/>
          <w:sz w:val="20"/>
          <w:szCs w:val="20"/>
        </w:rPr>
        <w:t>What information should Juan find out regarding “mandatory overtime”?</w:t>
      </w:r>
      <w:r w:rsidRPr="00653E2F">
        <w:rPr>
          <w:rFonts w:ascii="ACaslonPro" w:eastAsia="Times New Roman" w:hAnsi="ACaslonPro" w:cs="Times New Roman"/>
          <w:sz w:val="20"/>
          <w:szCs w:val="20"/>
        </w:rPr>
        <w:br/>
      </w:r>
      <w:r w:rsidRPr="00653E2F">
        <w:rPr>
          <w:rFonts w:ascii="FuturaStd" w:eastAsia="Times New Roman" w:hAnsi="FuturaStd" w:cs="Times New Roman"/>
          <w:b/>
          <w:bCs/>
          <w:color w:val="FF0033"/>
          <w:sz w:val="20"/>
          <w:szCs w:val="20"/>
        </w:rPr>
        <w:t xml:space="preserve">4. </w:t>
      </w:r>
      <w:r w:rsidRPr="00653E2F">
        <w:rPr>
          <w:rFonts w:ascii="ACaslonPro" w:eastAsia="Times New Roman" w:hAnsi="ACaslonPro" w:cs="Times New Roman"/>
          <w:sz w:val="20"/>
          <w:szCs w:val="20"/>
        </w:rPr>
        <w:t xml:space="preserve">If Juan makes an error that results in harm to a patient, can he be held accountable? </w:t>
      </w:r>
    </w:p>
    <w:p w14:paraId="5F597119" w14:textId="7C46C84B" w:rsidR="00653E2F" w:rsidRPr="00653E2F" w:rsidRDefault="00653E2F" w:rsidP="00653E2F">
      <w:pPr>
        <w:shd w:val="clear" w:color="auto" w:fill="FFFFFF"/>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"/var/folders/xx/b74wr1s110v7wd4fcc2vzqx80000gn/T/com.microsoft.Word/WebArchiveCopyPasteTempFiles/page59image37900800"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0B5ED2F5" wp14:editId="5DCC28D1">
            <wp:extent cx="5586095" cy="180975"/>
            <wp:effectExtent l="0" t="0" r="0" b="0"/>
            <wp:docPr id="2" name="Picture 2" descr="page59image37900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age59image3790080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86095" cy="180975"/>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0554A62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MinionPro" w:eastAsia="Times New Roman" w:hAnsi="MinionPro" w:cs="Times New Roman"/>
          <w:color w:val="FF0033"/>
          <w:sz w:val="26"/>
          <w:szCs w:val="26"/>
        </w:rPr>
        <w:t xml:space="preserve">References </w:t>
      </w:r>
    </w:p>
    <w:p w14:paraId="1B76C00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Aiken, T.D. (2004). </w:t>
      </w:r>
      <w:r w:rsidRPr="00653E2F">
        <w:rPr>
          <w:rFonts w:ascii="FuturaStd" w:eastAsia="Times New Roman" w:hAnsi="FuturaStd" w:cs="Times New Roman"/>
          <w:i/>
          <w:iCs/>
          <w:sz w:val="16"/>
          <w:szCs w:val="16"/>
        </w:rPr>
        <w:t xml:space="preserve">Legal, Ethical and political issues in nursing, </w:t>
      </w:r>
      <w:r w:rsidRPr="00653E2F">
        <w:rPr>
          <w:rFonts w:ascii="FuturaStd" w:eastAsia="Times New Roman" w:hAnsi="FuturaStd" w:cs="Times New Roman"/>
          <w:sz w:val="16"/>
          <w:szCs w:val="16"/>
        </w:rPr>
        <w:t xml:space="preserve">2nd ed. Philadelphia: F.A. Davis. </w:t>
      </w:r>
    </w:p>
    <w:p w14:paraId="35B14CD8"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American Association of Neuroscience Nurses, (2012). Neuroscience nursing scope and standards of practice. Washington, DC: ANA. </w:t>
      </w:r>
    </w:p>
    <w:p w14:paraId="6DDDC9D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American Nurses Association (ANA). (1992). Position statement on nursing care and do not resuscitate decisions. Washington, DC: ANA. </w:t>
      </w:r>
    </w:p>
    <w:p w14:paraId="70943E7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American Nurses Association (ANA). (1998). Legal aspects of standards and guidelines for clinical nursing practice. Washington, DC: ANA. </w:t>
      </w:r>
    </w:p>
    <w:p w14:paraId="022DA95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American Nurses Association (ANA). (2005). American Nurses Association Statement on the Terri Schiavo Case. Retrieved on October 2, 2012, from http:// nursingworld.org/FunctionalMenuCategories/ MediaResources/PressReleases/2005/pr03238523 .aspx </w:t>
      </w:r>
    </w:p>
    <w:p w14:paraId="2CC6FC9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American Nurses Association (ANA). (2010). Nursing: scope and standards of practice. Pub 03SSNP. Washington, DC: ANA. </w:t>
      </w:r>
    </w:p>
    <w:p w14:paraId="68D4583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American Nurses Association (ANA). (2011). Nurse staffing plans and ratios. Retrieved on September 28, 2012, from www.nursingworld.org/MainMenuCategories/ Policy-Advocacy/State/Legislative-Agenda-Reports/ State-StaffingPlansRatios </w:t>
      </w:r>
    </w:p>
    <w:p w14:paraId="3548108A"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Bae, S.H., Brewer, C.S., &amp; Kovner, C.T. (2011). State mandatory overtime regulations and newly licensed nurses’ mandatory and voluntary overtime and total work hours. </w:t>
      </w:r>
      <w:r w:rsidRPr="00653E2F">
        <w:rPr>
          <w:rFonts w:ascii="FuturaStd" w:eastAsia="Times New Roman" w:hAnsi="FuturaStd" w:cs="Times New Roman"/>
          <w:i/>
          <w:iCs/>
          <w:sz w:val="16"/>
          <w:szCs w:val="16"/>
        </w:rPr>
        <w:t xml:space="preserve">Nursing Outlook </w:t>
      </w:r>
      <w:r w:rsidRPr="00653E2F">
        <w:rPr>
          <w:rFonts w:ascii="FuturaStd" w:eastAsia="Times New Roman" w:hAnsi="FuturaStd" w:cs="Times New Roman"/>
          <w:sz w:val="16"/>
          <w:szCs w:val="16"/>
        </w:rPr>
        <w:t xml:space="preserve">(doi:10.1016/j), pp. 1–12. Retrieved on October 2, 2012, from www .nursingoutlook.org </w:t>
      </w:r>
    </w:p>
    <w:p w14:paraId="28AF559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Balas, M., Scott, L., &amp; Rogers, A. (2004). The prevalence and nature of errors and near errors reported by hospital staff nurses. </w:t>
      </w:r>
      <w:r w:rsidRPr="00653E2F">
        <w:rPr>
          <w:rFonts w:ascii="FuturaStd" w:eastAsia="Times New Roman" w:hAnsi="FuturaStd" w:cs="Times New Roman"/>
          <w:i/>
          <w:iCs/>
          <w:sz w:val="16"/>
          <w:szCs w:val="16"/>
        </w:rPr>
        <w:t>Applied Nursing Research, 17</w:t>
      </w:r>
      <w:r w:rsidRPr="00653E2F">
        <w:rPr>
          <w:rFonts w:ascii="FuturaStd" w:eastAsia="Times New Roman" w:hAnsi="FuturaStd" w:cs="Times New Roman"/>
          <w:sz w:val="16"/>
          <w:szCs w:val="16"/>
        </w:rPr>
        <w:t xml:space="preserve">(4), 224–230. </w:t>
      </w:r>
    </w:p>
    <w:p w14:paraId="6972C14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Beckman, J.P. (1995). </w:t>
      </w:r>
      <w:r w:rsidRPr="00653E2F">
        <w:rPr>
          <w:rFonts w:ascii="FuturaStd" w:eastAsia="Times New Roman" w:hAnsi="FuturaStd" w:cs="Times New Roman"/>
          <w:i/>
          <w:iCs/>
          <w:sz w:val="16"/>
          <w:szCs w:val="16"/>
        </w:rPr>
        <w:t xml:space="preserve">Nursing malpractice: Implications for clinical practice and nursing education. </w:t>
      </w:r>
      <w:r w:rsidRPr="00653E2F">
        <w:rPr>
          <w:rFonts w:ascii="FuturaStd" w:eastAsia="Times New Roman" w:hAnsi="FuturaStd" w:cs="Times New Roman"/>
          <w:sz w:val="16"/>
          <w:szCs w:val="16"/>
        </w:rPr>
        <w:t xml:space="preserve">Seattle: Washington University Press. </w:t>
      </w:r>
    </w:p>
    <w:p w14:paraId="726D37E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Berman, A.J., &amp; Snyder, S. (2012). </w:t>
      </w:r>
      <w:r w:rsidRPr="00653E2F">
        <w:rPr>
          <w:rFonts w:ascii="FuturaStd" w:eastAsia="Times New Roman" w:hAnsi="FuturaStd" w:cs="Times New Roman"/>
          <w:i/>
          <w:iCs/>
          <w:sz w:val="16"/>
          <w:szCs w:val="16"/>
        </w:rPr>
        <w:t xml:space="preserve">Kozier and Erb’s fundamentals of nursing: Concepts, process and practice </w:t>
      </w:r>
      <w:r w:rsidRPr="00653E2F">
        <w:rPr>
          <w:rFonts w:ascii="FuturaStd" w:eastAsia="Times New Roman" w:hAnsi="FuturaStd" w:cs="Times New Roman"/>
          <w:sz w:val="16"/>
          <w:szCs w:val="16"/>
        </w:rPr>
        <w:t xml:space="preserve">(9th ed.). Upper Saddle River, N.J.: Prentice-Hall. </w:t>
      </w:r>
    </w:p>
    <w:p w14:paraId="630574F9"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Black, H.C. (2009). In Gardner, B.A. (ed.), </w:t>
      </w:r>
      <w:r w:rsidRPr="00653E2F">
        <w:rPr>
          <w:rFonts w:ascii="FuturaStd" w:eastAsia="Times New Roman" w:hAnsi="FuturaStd" w:cs="Times New Roman"/>
          <w:i/>
          <w:iCs/>
          <w:sz w:val="16"/>
          <w:szCs w:val="16"/>
        </w:rPr>
        <w:t xml:space="preserve">Black’s Law dictionary </w:t>
      </w:r>
      <w:r w:rsidRPr="00653E2F">
        <w:rPr>
          <w:rFonts w:ascii="FuturaStd" w:eastAsia="Times New Roman" w:hAnsi="FuturaStd" w:cs="Times New Roman"/>
          <w:sz w:val="16"/>
          <w:szCs w:val="16"/>
        </w:rPr>
        <w:t xml:space="preserve">(9th ed.). St. Paul: West Publishing. </w:t>
      </w:r>
    </w:p>
    <w:p w14:paraId="6365642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Blais, K.K., &amp; Hayes, J.S. (2011). </w:t>
      </w:r>
      <w:r w:rsidRPr="00653E2F">
        <w:rPr>
          <w:rFonts w:ascii="FuturaStd" w:eastAsia="Times New Roman" w:hAnsi="FuturaStd" w:cs="Times New Roman"/>
          <w:i/>
          <w:iCs/>
          <w:sz w:val="16"/>
          <w:szCs w:val="16"/>
        </w:rPr>
        <w:t xml:space="preserve">Professional nursing practice: Concepts and perspectives </w:t>
      </w:r>
      <w:r w:rsidRPr="00653E2F">
        <w:rPr>
          <w:rFonts w:ascii="FuturaStd" w:eastAsia="Times New Roman" w:hAnsi="FuturaStd" w:cs="Times New Roman"/>
          <w:sz w:val="16"/>
          <w:szCs w:val="16"/>
        </w:rPr>
        <w:t xml:space="preserve">(6th ed.). Upper Saddle River, N.J.: Prentice-Hall. </w:t>
      </w:r>
    </w:p>
    <w:p w14:paraId="43C0E58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lastRenderedPageBreak/>
        <w:t xml:space="preserve">Catalano, J.T. (2000). </w:t>
      </w:r>
      <w:r w:rsidRPr="00653E2F">
        <w:rPr>
          <w:rFonts w:ascii="FuturaStd" w:eastAsia="Times New Roman" w:hAnsi="FuturaStd" w:cs="Times New Roman"/>
          <w:i/>
          <w:iCs/>
          <w:sz w:val="16"/>
          <w:szCs w:val="16"/>
        </w:rPr>
        <w:t xml:space="preserve">Nursing now! Today’s issue, tomorrow’s trends, </w:t>
      </w:r>
      <w:r w:rsidRPr="00653E2F">
        <w:rPr>
          <w:rFonts w:ascii="FuturaStd" w:eastAsia="Times New Roman" w:hAnsi="FuturaStd" w:cs="Times New Roman"/>
          <w:sz w:val="16"/>
          <w:szCs w:val="16"/>
        </w:rPr>
        <w:t xml:space="preserve">2nd ed. Philadelphia: F.A. Davis. </w:t>
      </w:r>
    </w:p>
    <w:p w14:paraId="5A31EA9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Charters, K.G. (2003). HIPAA’s latest privacy rule. </w:t>
      </w:r>
      <w:r w:rsidRPr="00653E2F">
        <w:rPr>
          <w:rFonts w:ascii="FuturaStd" w:eastAsia="Times New Roman" w:hAnsi="FuturaStd" w:cs="Times New Roman"/>
          <w:i/>
          <w:iCs/>
          <w:sz w:val="16"/>
          <w:szCs w:val="16"/>
        </w:rPr>
        <w:t>Policy, Politics &amp; Nursing Practice, 4</w:t>
      </w:r>
      <w:r w:rsidRPr="00653E2F">
        <w:rPr>
          <w:rFonts w:ascii="FuturaStd" w:eastAsia="Times New Roman" w:hAnsi="FuturaStd" w:cs="Times New Roman"/>
          <w:sz w:val="16"/>
          <w:szCs w:val="16"/>
        </w:rPr>
        <w:t xml:space="preserve">(1), 75–78. </w:t>
      </w:r>
    </w:p>
    <w:p w14:paraId="48029E4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Donabedian, A. (1988). The quality of care: How can it be assessed? </w:t>
      </w:r>
      <w:r w:rsidRPr="00653E2F">
        <w:rPr>
          <w:rFonts w:ascii="FuturaStd" w:eastAsia="Times New Roman" w:hAnsi="FuturaStd" w:cs="Times New Roman"/>
          <w:i/>
          <w:iCs/>
          <w:sz w:val="16"/>
          <w:szCs w:val="16"/>
        </w:rPr>
        <w:t>Journal of the American Medical Association, 260</w:t>
      </w:r>
      <w:r w:rsidRPr="00653E2F">
        <w:rPr>
          <w:rFonts w:ascii="FuturaStd" w:eastAsia="Times New Roman" w:hAnsi="FuturaStd" w:cs="Times New Roman"/>
          <w:sz w:val="16"/>
          <w:szCs w:val="16"/>
        </w:rPr>
        <w:t xml:space="preserve">(12), 1743–1748. </w:t>
      </w:r>
    </w:p>
    <w:p w14:paraId="277F767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Eisenhauer, L.A., Hurley, A.C., &amp; Dolan, N. (2007). Nurses’ reported thinking during medication administration. </w:t>
      </w:r>
      <w:r w:rsidRPr="00653E2F">
        <w:rPr>
          <w:rFonts w:ascii="FuturaStd" w:eastAsia="Times New Roman" w:hAnsi="FuturaStd" w:cs="Times New Roman"/>
          <w:i/>
          <w:iCs/>
          <w:sz w:val="16"/>
          <w:szCs w:val="16"/>
        </w:rPr>
        <w:t>Journal of Nursing Scholarship</w:t>
      </w:r>
      <w:r w:rsidRPr="00653E2F">
        <w:rPr>
          <w:rFonts w:ascii="FuturaStd" w:eastAsia="Times New Roman" w:hAnsi="FuturaStd" w:cs="Times New Roman"/>
          <w:sz w:val="16"/>
          <w:szCs w:val="16"/>
        </w:rPr>
        <w:t xml:space="preserve">, </w:t>
      </w:r>
      <w:r w:rsidRPr="00653E2F">
        <w:rPr>
          <w:rFonts w:ascii="FuturaStd" w:eastAsia="Times New Roman" w:hAnsi="FuturaStd" w:cs="Times New Roman"/>
          <w:i/>
          <w:iCs/>
          <w:sz w:val="16"/>
          <w:szCs w:val="16"/>
        </w:rPr>
        <w:t>39</w:t>
      </w:r>
      <w:r w:rsidRPr="00653E2F">
        <w:rPr>
          <w:rFonts w:ascii="FuturaStd" w:eastAsia="Times New Roman" w:hAnsi="FuturaStd" w:cs="Times New Roman"/>
          <w:sz w:val="16"/>
          <w:szCs w:val="16"/>
        </w:rPr>
        <w:t xml:space="preserve">(1), 82–87. </w:t>
      </w:r>
    </w:p>
    <w:p w14:paraId="5FF1920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Elliott, M., &amp; Liu, Y. (2010). The nine rights of medication administration: An overview. </w:t>
      </w:r>
      <w:r w:rsidRPr="00653E2F">
        <w:rPr>
          <w:rFonts w:ascii="FuturaStd" w:eastAsia="Times New Roman" w:hAnsi="FuturaStd" w:cs="Times New Roman"/>
          <w:i/>
          <w:iCs/>
          <w:sz w:val="16"/>
          <w:szCs w:val="16"/>
        </w:rPr>
        <w:t>British Journal of Nursing</w:t>
      </w:r>
      <w:r w:rsidRPr="00653E2F">
        <w:rPr>
          <w:rFonts w:ascii="FuturaStd" w:eastAsia="Times New Roman" w:hAnsi="FuturaStd" w:cs="Times New Roman"/>
          <w:sz w:val="16"/>
          <w:szCs w:val="16"/>
        </w:rPr>
        <w:t xml:space="preserve">, </w:t>
      </w:r>
      <w:r w:rsidRPr="00653E2F">
        <w:rPr>
          <w:rFonts w:ascii="FuturaStd" w:eastAsia="Times New Roman" w:hAnsi="FuturaStd" w:cs="Times New Roman"/>
          <w:i/>
          <w:iCs/>
          <w:sz w:val="16"/>
          <w:szCs w:val="16"/>
        </w:rPr>
        <w:t>19</w:t>
      </w:r>
      <w:r w:rsidRPr="00653E2F">
        <w:rPr>
          <w:rFonts w:ascii="FuturaStd" w:eastAsia="Times New Roman" w:hAnsi="FuturaStd" w:cs="Times New Roman"/>
          <w:sz w:val="16"/>
          <w:szCs w:val="16"/>
        </w:rPr>
        <w:t xml:space="preserve">(5), 300. </w:t>
      </w:r>
    </w:p>
    <w:p w14:paraId="517C9AC5"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Ellis, J.R., &amp; Hartley, C.L. (2004). </w:t>
      </w:r>
      <w:r w:rsidRPr="00653E2F">
        <w:rPr>
          <w:rFonts w:ascii="FuturaStd" w:eastAsia="Times New Roman" w:hAnsi="FuturaStd" w:cs="Times New Roman"/>
          <w:i/>
          <w:iCs/>
          <w:sz w:val="16"/>
          <w:szCs w:val="16"/>
        </w:rPr>
        <w:t xml:space="preserve">Nursing in today’s world: trends, issues and management, </w:t>
      </w:r>
      <w:r w:rsidRPr="00653E2F">
        <w:rPr>
          <w:rFonts w:ascii="FuturaStd" w:eastAsia="Times New Roman" w:hAnsi="FuturaStd" w:cs="Times New Roman"/>
          <w:sz w:val="16"/>
          <w:szCs w:val="16"/>
        </w:rPr>
        <w:t xml:space="preserve">8th ed. Philadelphia: Lippincott, Williams &amp; Wilkins. </w:t>
      </w:r>
    </w:p>
    <w:p w14:paraId="344A4B3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Flarey, D. (1991). Advanced directives: In search of self- determination. </w:t>
      </w:r>
      <w:r w:rsidRPr="00653E2F">
        <w:rPr>
          <w:rFonts w:ascii="FuturaStd" w:eastAsia="Times New Roman" w:hAnsi="FuturaStd" w:cs="Times New Roman"/>
          <w:i/>
          <w:iCs/>
          <w:sz w:val="16"/>
          <w:szCs w:val="16"/>
        </w:rPr>
        <w:t>Journal of Nursing Administration, 21</w:t>
      </w:r>
      <w:r w:rsidRPr="00653E2F">
        <w:rPr>
          <w:rFonts w:ascii="FuturaStd" w:eastAsia="Times New Roman" w:hAnsi="FuturaStd" w:cs="Times New Roman"/>
          <w:sz w:val="16"/>
          <w:szCs w:val="16"/>
        </w:rPr>
        <w:t xml:space="preserve">(11), 17. </w:t>
      </w:r>
    </w:p>
    <w:p w14:paraId="21333F3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Gic, J. (2009). Nursing and the Law. In Shafeek, S., </w:t>
      </w:r>
      <w:r w:rsidRPr="00653E2F">
        <w:rPr>
          <w:rFonts w:ascii="FuturaStd" w:eastAsia="Times New Roman" w:hAnsi="FuturaStd" w:cs="Times New Roman"/>
          <w:i/>
          <w:iCs/>
          <w:sz w:val="16"/>
          <w:szCs w:val="16"/>
        </w:rPr>
        <w:t>Legal medicine</w:t>
      </w:r>
      <w:r w:rsidRPr="00653E2F">
        <w:rPr>
          <w:rFonts w:ascii="FuturaStd" w:eastAsia="Times New Roman" w:hAnsi="FuturaStd" w:cs="Times New Roman"/>
          <w:sz w:val="16"/>
          <w:szCs w:val="16"/>
        </w:rPr>
        <w:t xml:space="preserve">. Philadelphia: Mosby Elsevier. </w:t>
      </w:r>
    </w:p>
    <w:p w14:paraId="460BEA9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sz w:val="16"/>
          <w:szCs w:val="16"/>
        </w:rPr>
        <w:t xml:space="preserve">Giese v. Stice. </w:t>
      </w:r>
      <w:r w:rsidRPr="00653E2F">
        <w:rPr>
          <w:rFonts w:ascii="FuturaStd" w:eastAsia="Times New Roman" w:hAnsi="FuturaStd" w:cs="Times New Roman"/>
          <w:sz w:val="16"/>
          <w:szCs w:val="16"/>
        </w:rPr>
        <w:t xml:space="preserve">567 N.W. 2d 156 (Nebraska, 1997). Glannon, J.W. (2005). </w:t>
      </w:r>
      <w:r w:rsidRPr="00653E2F">
        <w:rPr>
          <w:rFonts w:ascii="FuturaStd" w:eastAsia="Times New Roman" w:hAnsi="FuturaStd" w:cs="Times New Roman"/>
          <w:i/>
          <w:iCs/>
          <w:sz w:val="16"/>
          <w:szCs w:val="16"/>
        </w:rPr>
        <w:t xml:space="preserve">The law of torts: Examples and </w:t>
      </w:r>
    </w:p>
    <w:p w14:paraId="523411C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sz w:val="16"/>
          <w:szCs w:val="16"/>
        </w:rPr>
        <w:t xml:space="preserve">explanations </w:t>
      </w:r>
      <w:r w:rsidRPr="00653E2F">
        <w:rPr>
          <w:rFonts w:ascii="FuturaStd" w:eastAsia="Times New Roman" w:hAnsi="FuturaStd" w:cs="Times New Roman"/>
          <w:sz w:val="16"/>
          <w:szCs w:val="16"/>
        </w:rPr>
        <w:t xml:space="preserve">(3rd ed.). Frederick, MD: Aspen Publishers. Guido, G.W. (2001). </w:t>
      </w:r>
      <w:r w:rsidRPr="00653E2F">
        <w:rPr>
          <w:rFonts w:ascii="FuturaStd" w:eastAsia="Times New Roman" w:hAnsi="FuturaStd" w:cs="Times New Roman"/>
          <w:i/>
          <w:iCs/>
          <w:sz w:val="16"/>
          <w:szCs w:val="16"/>
        </w:rPr>
        <w:t xml:space="preserve">Legal and ethical issues in nursing, </w:t>
      </w:r>
    </w:p>
    <w:p w14:paraId="329BC8F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3rd ed. Upper Saddle River, N.J.: Prentice-Hall. Hickey, J. (2008). </w:t>
      </w:r>
      <w:r w:rsidRPr="00653E2F">
        <w:rPr>
          <w:rFonts w:ascii="FuturaStd" w:eastAsia="Times New Roman" w:hAnsi="FuturaStd" w:cs="Times New Roman"/>
          <w:i/>
          <w:iCs/>
          <w:sz w:val="16"/>
          <w:szCs w:val="16"/>
        </w:rPr>
        <w:t xml:space="preserve">Clinical practice of neurological and </w:t>
      </w:r>
    </w:p>
    <w:p w14:paraId="1D7A010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sz w:val="16"/>
          <w:szCs w:val="16"/>
        </w:rPr>
        <w:t xml:space="preserve">neurosurgical nursing, </w:t>
      </w:r>
      <w:r w:rsidRPr="00653E2F">
        <w:rPr>
          <w:rFonts w:ascii="FuturaStd" w:eastAsia="Times New Roman" w:hAnsi="FuturaStd" w:cs="Times New Roman"/>
          <w:sz w:val="16"/>
          <w:szCs w:val="16"/>
        </w:rPr>
        <w:t xml:space="preserve">6th ed. Philadelphia: Lippincott, </w:t>
      </w:r>
    </w:p>
    <w:p w14:paraId="6C872E94"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Williams and Wilkins.</w:t>
      </w:r>
      <w:r w:rsidRPr="00653E2F">
        <w:rPr>
          <w:rFonts w:ascii="FuturaStd" w:eastAsia="Times New Roman" w:hAnsi="FuturaStd" w:cs="Times New Roman"/>
          <w:sz w:val="16"/>
          <w:szCs w:val="16"/>
        </w:rPr>
        <w:br/>
        <w:t xml:space="preserve">Hill, G.N., &amp; Hill, K.T. (2009). The people’s law </w:t>
      </w:r>
    </w:p>
    <w:p w14:paraId="1912E252"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dictionary: Taking the mystery out of legal language. Retrieved on September 28, 2012, from http:// dictionary.law.com/Default.aspx?searched=common%20 law&amp;type=1 </w:t>
      </w:r>
    </w:p>
    <w:p w14:paraId="048135B1"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Kozier, B., Erb, G., Blais, K., et al. (1995). </w:t>
      </w:r>
      <w:r w:rsidRPr="00653E2F">
        <w:rPr>
          <w:rFonts w:ascii="FuturaStd" w:eastAsia="Times New Roman" w:hAnsi="FuturaStd" w:cs="Times New Roman"/>
          <w:i/>
          <w:iCs/>
          <w:sz w:val="16"/>
          <w:szCs w:val="16"/>
        </w:rPr>
        <w:t xml:space="preserve">Fundamentals of nursing: Concepts, process and practice, </w:t>
      </w:r>
      <w:r w:rsidRPr="00653E2F">
        <w:rPr>
          <w:rFonts w:ascii="FuturaStd" w:eastAsia="Times New Roman" w:hAnsi="FuturaStd" w:cs="Times New Roman"/>
          <w:sz w:val="16"/>
          <w:szCs w:val="16"/>
        </w:rPr>
        <w:t xml:space="preserve">15th ed. Menlo Park, Calif.: Addison-Wesley. </w:t>
      </w:r>
    </w:p>
    <w:p w14:paraId="6BF568D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Loiacono, K. (2005). A good fight in the house over medical malpractice ‘reform.’ </w:t>
      </w:r>
      <w:r w:rsidRPr="00653E2F">
        <w:rPr>
          <w:rFonts w:ascii="FuturaStd" w:eastAsia="Times New Roman" w:hAnsi="FuturaStd" w:cs="Times New Roman"/>
          <w:i/>
          <w:iCs/>
          <w:sz w:val="16"/>
          <w:szCs w:val="16"/>
        </w:rPr>
        <w:t xml:space="preserve">Trial, 11. </w:t>
      </w:r>
      <w:r w:rsidRPr="00653E2F">
        <w:rPr>
          <w:rFonts w:ascii="FuturaStd" w:eastAsia="Times New Roman" w:hAnsi="FuturaStd" w:cs="Times New Roman"/>
          <w:sz w:val="16"/>
          <w:szCs w:val="16"/>
        </w:rPr>
        <w:t xml:space="preserve">Retrieved June 18, 2014, from http://www.thefreelibrary.com/A +good+fight+in+the+House+over+medical+malpractice +’reform’.-a0115404605 </w:t>
      </w:r>
    </w:p>
    <w:p w14:paraId="40C4F4E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Marr, S. (2003). Protect your practice: Informed consent. </w:t>
      </w:r>
      <w:r w:rsidRPr="00653E2F">
        <w:rPr>
          <w:rFonts w:ascii="FuturaStd" w:eastAsia="Times New Roman" w:hAnsi="FuturaStd" w:cs="Times New Roman"/>
          <w:i/>
          <w:iCs/>
          <w:sz w:val="16"/>
          <w:szCs w:val="16"/>
        </w:rPr>
        <w:t>Plastic Surgical Nursing, 22</w:t>
      </w:r>
      <w:r w:rsidRPr="00653E2F">
        <w:rPr>
          <w:rFonts w:ascii="FuturaStd" w:eastAsia="Times New Roman" w:hAnsi="FuturaStd" w:cs="Times New Roman"/>
          <w:sz w:val="16"/>
          <w:szCs w:val="16"/>
        </w:rPr>
        <w:t xml:space="preserve">(4), pp. 180–197. </w:t>
      </w:r>
    </w:p>
    <w:p w14:paraId="5EF3025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Mayo Clinic. Living wills and advance directives. Available from www.mayoclinic.com/health/living-wills/ HA00014 </w:t>
      </w:r>
    </w:p>
    <w:p w14:paraId="2BAD18E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National Council of State Boards of Nursing. (2012). </w:t>
      </w:r>
      <w:r w:rsidRPr="00653E2F">
        <w:rPr>
          <w:rFonts w:ascii="FuturaStd" w:eastAsia="Times New Roman" w:hAnsi="FuturaStd" w:cs="Times New Roman"/>
          <w:i/>
          <w:iCs/>
          <w:sz w:val="16"/>
          <w:szCs w:val="16"/>
        </w:rPr>
        <w:t xml:space="preserve">Fast facts about alternative item formats and the NCLEX examination. </w:t>
      </w:r>
      <w:r w:rsidRPr="00653E2F">
        <w:rPr>
          <w:rFonts w:ascii="FuturaStd" w:eastAsia="Times New Roman" w:hAnsi="FuturaStd" w:cs="Times New Roman"/>
          <w:sz w:val="16"/>
          <w:szCs w:val="16"/>
        </w:rPr>
        <w:t xml:space="preserve">Retrieved on October 2, 2012, from www.ncsbn.org </w:t>
      </w:r>
    </w:p>
    <w:p w14:paraId="2AA0F4DD"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National Council of State Boards of Nursing. (2012). </w:t>
      </w:r>
      <w:r w:rsidRPr="00653E2F">
        <w:rPr>
          <w:rFonts w:ascii="FuturaStd" w:eastAsia="Times New Roman" w:hAnsi="FuturaStd" w:cs="Times New Roman"/>
          <w:i/>
          <w:iCs/>
          <w:sz w:val="16"/>
          <w:szCs w:val="16"/>
        </w:rPr>
        <w:t>Nursing regulation</w:t>
      </w:r>
      <w:r w:rsidRPr="00653E2F">
        <w:rPr>
          <w:rFonts w:ascii="FuturaStd" w:eastAsia="Times New Roman" w:hAnsi="FuturaStd" w:cs="Times New Roman"/>
          <w:sz w:val="16"/>
          <w:szCs w:val="16"/>
        </w:rPr>
        <w:t xml:space="preserve">. Retrieved on October 1, 2012, from www.ncsbn.org. </w:t>
      </w:r>
    </w:p>
    <w:p w14:paraId="7BDE9CC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National Council of State Boards of Nursing. (2012). </w:t>
      </w:r>
      <w:r w:rsidRPr="00653E2F">
        <w:rPr>
          <w:rFonts w:ascii="FuturaStd" w:eastAsia="Times New Roman" w:hAnsi="FuturaStd" w:cs="Times New Roman"/>
          <w:i/>
          <w:iCs/>
          <w:sz w:val="16"/>
          <w:szCs w:val="16"/>
        </w:rPr>
        <w:t>2013 NCLEX-RN test plan</w:t>
      </w:r>
      <w:r w:rsidRPr="00653E2F">
        <w:rPr>
          <w:rFonts w:ascii="FuturaStd" w:eastAsia="Times New Roman" w:hAnsi="FuturaStd" w:cs="Times New Roman"/>
          <w:sz w:val="16"/>
          <w:szCs w:val="16"/>
        </w:rPr>
        <w:t xml:space="preserve">. Retrieved on October 2, 2012, from www.ncsbn.org. </w:t>
      </w:r>
    </w:p>
    <w:p w14:paraId="26322823"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National Council of State Boards of Nursing (2012). Nurse licensure compact. Retrieved on October 4, 2012, from https://www.ncsbn.org/nlc.htm. </w:t>
      </w:r>
    </w:p>
    <w:p w14:paraId="6D3A7B16"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lastRenderedPageBreak/>
        <w:t xml:space="preserve">Needleman, J., Buerhaus, P., Pankratz, S., Liebson, C.L., Stevens, S.R., and Harris, M. (2011). Nurse staffing and inpatient hospital mortality. </w:t>
      </w:r>
      <w:r w:rsidRPr="00653E2F">
        <w:rPr>
          <w:rFonts w:ascii="FuturaStd" w:eastAsia="Times New Roman" w:hAnsi="FuturaStd" w:cs="Times New Roman"/>
          <w:i/>
          <w:iCs/>
          <w:sz w:val="16"/>
          <w:szCs w:val="16"/>
        </w:rPr>
        <w:t>New England Journal of Medicine, 364</w:t>
      </w:r>
      <w:r w:rsidRPr="00653E2F">
        <w:rPr>
          <w:rFonts w:ascii="FuturaStd" w:eastAsia="Times New Roman" w:hAnsi="FuturaStd" w:cs="Times New Roman"/>
          <w:sz w:val="16"/>
          <w:szCs w:val="16"/>
        </w:rPr>
        <w:t xml:space="preserve">(11), 1037–1045. </w:t>
      </w:r>
    </w:p>
    <w:p w14:paraId="7790F9E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New York state end-of-life laws (2012). Retrieved October 3, 2012, from www.nyc.gov/html/doh/html/hca/ advance-directives.shtml </w:t>
      </w:r>
    </w:p>
    <w:p w14:paraId="0FD0A130"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Reigle, J. (1992). Preserving patient self-determination through advance directives. </w:t>
      </w:r>
      <w:r w:rsidRPr="00653E2F">
        <w:rPr>
          <w:rFonts w:ascii="FuturaStd" w:eastAsia="Times New Roman" w:hAnsi="FuturaStd" w:cs="Times New Roman"/>
          <w:i/>
          <w:iCs/>
          <w:sz w:val="16"/>
          <w:szCs w:val="16"/>
        </w:rPr>
        <w:t>Heart Lung, 21</w:t>
      </w:r>
      <w:r w:rsidRPr="00653E2F">
        <w:rPr>
          <w:rFonts w:ascii="FuturaStd" w:eastAsia="Times New Roman" w:hAnsi="FuturaStd" w:cs="Times New Roman"/>
          <w:sz w:val="16"/>
          <w:szCs w:val="16"/>
        </w:rPr>
        <w:t xml:space="preserve">(2), 196–198. </w:t>
      </w:r>
    </w:p>
    <w:p w14:paraId="51C468C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Sanbar, S.S. (2007). </w:t>
      </w:r>
      <w:r w:rsidRPr="00653E2F">
        <w:rPr>
          <w:rFonts w:ascii="FuturaStd" w:eastAsia="Times New Roman" w:hAnsi="FuturaStd" w:cs="Times New Roman"/>
          <w:i/>
          <w:iCs/>
          <w:sz w:val="16"/>
          <w:szCs w:val="16"/>
        </w:rPr>
        <w:t xml:space="preserve">Legal medicine </w:t>
      </w:r>
      <w:r w:rsidRPr="00653E2F">
        <w:rPr>
          <w:rFonts w:ascii="FuturaStd" w:eastAsia="Times New Roman" w:hAnsi="FuturaStd" w:cs="Times New Roman"/>
          <w:sz w:val="16"/>
          <w:szCs w:val="16"/>
        </w:rPr>
        <w:t xml:space="preserve">(7th ed.). Philadelphia: Mosby Elsevier. </w:t>
      </w:r>
    </w:p>
    <w:p w14:paraId="76F593C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Taylor, C., Lillis, C., &amp; LeMone, P. (2008). </w:t>
      </w:r>
      <w:r w:rsidRPr="00653E2F">
        <w:rPr>
          <w:rFonts w:ascii="FuturaStd" w:eastAsia="Times New Roman" w:hAnsi="FuturaStd" w:cs="Times New Roman"/>
          <w:i/>
          <w:iCs/>
          <w:sz w:val="16"/>
          <w:szCs w:val="16"/>
        </w:rPr>
        <w:t xml:space="preserve">Fundamentals of nursing: The art and science of nursing care. </w:t>
      </w:r>
      <w:r w:rsidRPr="00653E2F">
        <w:rPr>
          <w:rFonts w:ascii="FuturaStd" w:eastAsia="Times New Roman" w:hAnsi="FuturaStd" w:cs="Times New Roman"/>
          <w:sz w:val="16"/>
          <w:szCs w:val="16"/>
        </w:rPr>
        <w:t xml:space="preserve">Philadelphia: Lippincott, Williams &amp; Wilkins. </w:t>
      </w:r>
    </w:p>
    <w:p w14:paraId="46333D8B"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sz w:val="16"/>
          <w:szCs w:val="16"/>
        </w:rPr>
        <w:t xml:space="preserve">Tovar v. Methodist Healthcare. </w:t>
      </w:r>
      <w:r w:rsidRPr="00653E2F">
        <w:rPr>
          <w:rFonts w:ascii="FuturaStd" w:eastAsia="Times New Roman" w:hAnsi="FuturaStd" w:cs="Times New Roman"/>
          <w:sz w:val="16"/>
          <w:szCs w:val="16"/>
        </w:rPr>
        <w:t xml:space="preserve">(2005). S.W. 3d WL 3079074 (Texas App., 2005). </w:t>
      </w:r>
    </w:p>
    <w:p w14:paraId="36CCC7E7"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sz w:val="16"/>
          <w:szCs w:val="16"/>
        </w:rPr>
        <w:t xml:space="preserve">Wendland v. Sparks. </w:t>
      </w:r>
      <w:r w:rsidRPr="00653E2F">
        <w:rPr>
          <w:rFonts w:ascii="FuturaStd" w:eastAsia="Times New Roman" w:hAnsi="FuturaStd" w:cs="Times New Roman"/>
          <w:sz w:val="16"/>
          <w:szCs w:val="16"/>
        </w:rPr>
        <w:t xml:space="preserve">(1998). 574 N.W. 2d 327 (Iowa, 1998). </w:t>
      </w:r>
    </w:p>
    <w:p w14:paraId="691DAA8E"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i/>
          <w:iCs/>
          <w:sz w:val="16"/>
          <w:szCs w:val="16"/>
        </w:rPr>
        <w:t xml:space="preserve">Young v. GastroIntestinal Center, Inc. </w:t>
      </w:r>
      <w:r w:rsidRPr="00653E2F">
        <w:rPr>
          <w:rFonts w:ascii="FuturaStd" w:eastAsia="Times New Roman" w:hAnsi="FuturaStd" w:cs="Times New Roman"/>
          <w:sz w:val="16"/>
          <w:szCs w:val="16"/>
        </w:rPr>
        <w:t xml:space="preserve">(2005). S.W. 3d WL 675751 (Arkansas, 2005). </w:t>
      </w:r>
    </w:p>
    <w:p w14:paraId="3224E7EC" w14:textId="77777777" w:rsidR="00653E2F" w:rsidRPr="00653E2F" w:rsidRDefault="00653E2F" w:rsidP="00653E2F">
      <w:pPr>
        <w:spacing w:before="100" w:beforeAutospacing="1" w:after="100" w:afterAutospacing="1"/>
        <w:rPr>
          <w:rFonts w:ascii="Times New Roman" w:eastAsia="Times New Roman" w:hAnsi="Times New Roman" w:cs="Times New Roman"/>
        </w:rPr>
      </w:pPr>
      <w:r w:rsidRPr="00653E2F">
        <w:rPr>
          <w:rFonts w:ascii="FuturaStd" w:eastAsia="Times New Roman" w:hAnsi="FuturaStd" w:cs="Times New Roman"/>
          <w:sz w:val="16"/>
          <w:szCs w:val="16"/>
        </w:rPr>
        <w:t xml:space="preserve">chapter </w:t>
      </w:r>
      <w:r w:rsidRPr="00653E2F">
        <w:rPr>
          <w:rFonts w:ascii="FuturaStd" w:eastAsia="Times New Roman" w:hAnsi="FuturaStd" w:cs="Times New Roman"/>
          <w:sz w:val="20"/>
          <w:szCs w:val="20"/>
        </w:rPr>
        <w:t xml:space="preserve">3 </w:t>
      </w:r>
      <w:r w:rsidRPr="00653E2F">
        <w:rPr>
          <w:rFonts w:ascii="Times New Roman" w:eastAsia="Times New Roman" w:hAnsi="Times New Roman" w:cs="Times New Roman"/>
          <w:color w:val="075E68"/>
          <w:position w:val="2"/>
          <w:sz w:val="12"/>
          <w:szCs w:val="12"/>
        </w:rPr>
        <w:t>■</w:t>
      </w:r>
      <w:r w:rsidRPr="00653E2F">
        <w:rPr>
          <w:rFonts w:ascii="ZapfDingbats" w:eastAsia="Times New Roman" w:hAnsi="ZapfDingbats" w:cs="Times New Roman"/>
          <w:color w:val="075E68"/>
          <w:position w:val="2"/>
          <w:sz w:val="12"/>
          <w:szCs w:val="12"/>
        </w:rPr>
        <w:t xml:space="preserve"> </w:t>
      </w:r>
      <w:r w:rsidRPr="00653E2F">
        <w:rPr>
          <w:rFonts w:ascii="MinionPro" w:eastAsia="Times New Roman" w:hAnsi="MinionPro" w:cs="Times New Roman"/>
          <w:sz w:val="20"/>
          <w:szCs w:val="20"/>
        </w:rPr>
        <w:t xml:space="preserve">Nursing Practice and the Law </w:t>
      </w:r>
      <w:r w:rsidRPr="00653E2F">
        <w:rPr>
          <w:rFonts w:ascii="ACaslonPro" w:eastAsia="Times New Roman" w:hAnsi="ACaslonPro" w:cs="Times New Roman"/>
          <w:b/>
          <w:bCs/>
          <w:i/>
          <w:iCs/>
          <w:sz w:val="20"/>
          <w:szCs w:val="20"/>
        </w:rPr>
        <w:t xml:space="preserve">47 </w:t>
      </w:r>
    </w:p>
    <w:p w14:paraId="4CE21682" w14:textId="66B6B707" w:rsidR="00653E2F" w:rsidRPr="00653E2F" w:rsidRDefault="00653E2F" w:rsidP="00653E2F">
      <w:pPr>
        <w:rPr>
          <w:rFonts w:ascii="Times New Roman" w:eastAsia="Times New Roman" w:hAnsi="Times New Roman" w:cs="Times New Roman"/>
        </w:rPr>
      </w:pPr>
      <w:r w:rsidRPr="00653E2F">
        <w:rPr>
          <w:rFonts w:ascii="Times New Roman" w:eastAsia="Times New Roman" w:hAnsi="Times New Roman" w:cs="Times New Roman"/>
        </w:rPr>
        <w:fldChar w:fldCharType="begin"/>
      </w:r>
      <w:r w:rsidRPr="00653E2F">
        <w:rPr>
          <w:rFonts w:ascii="Times New Roman" w:eastAsia="Times New Roman" w:hAnsi="Times New Roman" w:cs="Times New Roman"/>
        </w:rPr>
        <w:instrText xml:space="preserve"> INCLUDEPICTURE "/var/folders/xx/b74wr1s110v7wd4fcc2vzqx80000gn/T/com.microsoft.Word/WebArchiveCopyPasteTempFiles/page60image37905216" \* MERGEFORMATINET </w:instrText>
      </w:r>
      <w:r w:rsidRPr="00653E2F">
        <w:rPr>
          <w:rFonts w:ascii="Times New Roman" w:eastAsia="Times New Roman" w:hAnsi="Times New Roman" w:cs="Times New Roman"/>
        </w:rPr>
        <w:fldChar w:fldCharType="separate"/>
      </w:r>
      <w:r w:rsidRPr="00653E2F">
        <w:rPr>
          <w:rFonts w:ascii="Times New Roman" w:eastAsia="Times New Roman" w:hAnsi="Times New Roman" w:cs="Times New Roman"/>
          <w:noProof/>
        </w:rPr>
        <w:drawing>
          <wp:inline distT="0" distB="0" distL="0" distR="0" wp14:anchorId="4FCFBDC5" wp14:editId="19943B61">
            <wp:extent cx="1068070" cy="2743200"/>
            <wp:effectExtent l="0" t="0" r="0" b="0"/>
            <wp:docPr id="1" name="Picture 1" descr="page60image37905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page60image379052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8070" cy="2743200"/>
                    </a:xfrm>
                    <a:prstGeom prst="rect">
                      <a:avLst/>
                    </a:prstGeom>
                    <a:noFill/>
                    <a:ln>
                      <a:noFill/>
                    </a:ln>
                  </pic:spPr>
                </pic:pic>
              </a:graphicData>
            </a:graphic>
          </wp:inline>
        </w:drawing>
      </w:r>
      <w:r w:rsidRPr="00653E2F">
        <w:rPr>
          <w:rFonts w:ascii="Times New Roman" w:eastAsia="Times New Roman" w:hAnsi="Times New Roman" w:cs="Times New Roman"/>
        </w:rPr>
        <w:fldChar w:fldCharType="end"/>
      </w:r>
    </w:p>
    <w:p w14:paraId="4FBA6BFB" w14:textId="77777777" w:rsidR="00932866" w:rsidRDefault="00653E2F"/>
    <w:sectPr w:rsidR="00932866" w:rsidSect="00F55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FuturaStd">
    <w:altName w:val="Century Gothic"/>
    <w:panose1 w:val="020B0604020202020204"/>
    <w:charset w:val="00"/>
    <w:family w:val="roman"/>
    <w:notTrueType/>
    <w:pitch w:val="default"/>
  </w:font>
  <w:font w:name="ACaslonPro">
    <w:altName w:val="Cambria"/>
    <w:panose1 w:val="020B0604020202020204"/>
    <w:charset w:val="00"/>
    <w:family w:val="roman"/>
    <w:notTrueType/>
    <w:pitch w:val="default"/>
  </w:font>
  <w:font w:name="ZapfDingbats">
    <w:altName w:val="Cambria"/>
    <w:panose1 w:val="020B0604020202020204"/>
    <w:charset w:val="00"/>
    <w:family w:val="roman"/>
    <w:notTrueType/>
    <w:pitch w:val="default"/>
  </w:font>
  <w:font w:name="MinionPro">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SymbolNew">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C0E5B"/>
    <w:multiLevelType w:val="multilevel"/>
    <w:tmpl w:val="CD7A6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156B3D"/>
    <w:multiLevelType w:val="multilevel"/>
    <w:tmpl w:val="B96C0C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F5B0C"/>
    <w:multiLevelType w:val="multilevel"/>
    <w:tmpl w:val="30EE7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D82B51"/>
    <w:multiLevelType w:val="multilevel"/>
    <w:tmpl w:val="194E48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BE7CCC"/>
    <w:multiLevelType w:val="multilevel"/>
    <w:tmpl w:val="EA1CE8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D84F33"/>
    <w:multiLevelType w:val="multilevel"/>
    <w:tmpl w:val="2A28C3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745668"/>
    <w:multiLevelType w:val="multilevel"/>
    <w:tmpl w:val="59EC23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436EE2"/>
    <w:multiLevelType w:val="multilevel"/>
    <w:tmpl w:val="474A6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EC656B9"/>
    <w:multiLevelType w:val="multilevel"/>
    <w:tmpl w:val="8DA80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84A5DDA"/>
    <w:multiLevelType w:val="multilevel"/>
    <w:tmpl w:val="592E8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E96E2F"/>
    <w:multiLevelType w:val="multilevel"/>
    <w:tmpl w:val="A79CAA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FA38D6"/>
    <w:multiLevelType w:val="multilevel"/>
    <w:tmpl w:val="667E52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002D93"/>
    <w:multiLevelType w:val="multilevel"/>
    <w:tmpl w:val="221E36E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5F6B75"/>
    <w:multiLevelType w:val="multilevel"/>
    <w:tmpl w:val="7EDA14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5D758D"/>
    <w:multiLevelType w:val="multilevel"/>
    <w:tmpl w:val="CE04E3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A66C02"/>
    <w:multiLevelType w:val="multilevel"/>
    <w:tmpl w:val="D452D1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CF78AE"/>
    <w:multiLevelType w:val="multilevel"/>
    <w:tmpl w:val="13F6326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F70CCB"/>
    <w:multiLevelType w:val="multilevel"/>
    <w:tmpl w:val="E5E40D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B5549E"/>
    <w:multiLevelType w:val="multilevel"/>
    <w:tmpl w:val="F2B00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4"/>
  </w:num>
  <w:num w:numId="3">
    <w:abstractNumId w:val="6"/>
  </w:num>
  <w:num w:numId="4">
    <w:abstractNumId w:val="18"/>
  </w:num>
  <w:num w:numId="5">
    <w:abstractNumId w:val="0"/>
  </w:num>
  <w:num w:numId="6">
    <w:abstractNumId w:val="13"/>
  </w:num>
  <w:num w:numId="7">
    <w:abstractNumId w:val="11"/>
  </w:num>
  <w:num w:numId="8">
    <w:abstractNumId w:val="5"/>
  </w:num>
  <w:num w:numId="9">
    <w:abstractNumId w:val="7"/>
  </w:num>
  <w:num w:numId="10">
    <w:abstractNumId w:val="8"/>
  </w:num>
  <w:num w:numId="11">
    <w:abstractNumId w:val="9"/>
  </w:num>
  <w:num w:numId="12">
    <w:abstractNumId w:val="10"/>
  </w:num>
  <w:num w:numId="13">
    <w:abstractNumId w:val="1"/>
  </w:num>
  <w:num w:numId="14">
    <w:abstractNumId w:val="15"/>
  </w:num>
  <w:num w:numId="15">
    <w:abstractNumId w:val="17"/>
  </w:num>
  <w:num w:numId="16">
    <w:abstractNumId w:val="12"/>
  </w:num>
  <w:num w:numId="17">
    <w:abstractNumId w:val="3"/>
  </w:num>
  <w:num w:numId="18">
    <w:abstractNumId w:val="16"/>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E2F"/>
    <w:rsid w:val="00653E2F"/>
    <w:rsid w:val="0074368D"/>
    <w:rsid w:val="00F5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63B395"/>
  <w15:chartTrackingRefBased/>
  <w15:docId w15:val="{4A0514D3-FF35-BB42-AA2E-8D0AD251C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653E2F"/>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653E2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663268">
      <w:bodyDiv w:val="1"/>
      <w:marLeft w:val="0"/>
      <w:marRight w:val="0"/>
      <w:marTop w:val="0"/>
      <w:marBottom w:val="0"/>
      <w:divBdr>
        <w:top w:val="none" w:sz="0" w:space="0" w:color="auto"/>
        <w:left w:val="none" w:sz="0" w:space="0" w:color="auto"/>
        <w:bottom w:val="none" w:sz="0" w:space="0" w:color="auto"/>
        <w:right w:val="none" w:sz="0" w:space="0" w:color="auto"/>
      </w:divBdr>
      <w:divsChild>
        <w:div w:id="412820597">
          <w:marLeft w:val="0"/>
          <w:marRight w:val="0"/>
          <w:marTop w:val="0"/>
          <w:marBottom w:val="0"/>
          <w:divBdr>
            <w:top w:val="none" w:sz="0" w:space="0" w:color="auto"/>
            <w:left w:val="none" w:sz="0" w:space="0" w:color="auto"/>
            <w:bottom w:val="none" w:sz="0" w:space="0" w:color="auto"/>
            <w:right w:val="none" w:sz="0" w:space="0" w:color="auto"/>
          </w:divBdr>
          <w:divsChild>
            <w:div w:id="874276144">
              <w:marLeft w:val="0"/>
              <w:marRight w:val="0"/>
              <w:marTop w:val="0"/>
              <w:marBottom w:val="0"/>
              <w:divBdr>
                <w:top w:val="none" w:sz="0" w:space="0" w:color="auto"/>
                <w:left w:val="none" w:sz="0" w:space="0" w:color="auto"/>
                <w:bottom w:val="none" w:sz="0" w:space="0" w:color="auto"/>
                <w:right w:val="none" w:sz="0" w:space="0" w:color="auto"/>
              </w:divBdr>
              <w:divsChild>
                <w:div w:id="1422528429">
                  <w:marLeft w:val="0"/>
                  <w:marRight w:val="0"/>
                  <w:marTop w:val="0"/>
                  <w:marBottom w:val="0"/>
                  <w:divBdr>
                    <w:top w:val="none" w:sz="0" w:space="0" w:color="auto"/>
                    <w:left w:val="none" w:sz="0" w:space="0" w:color="auto"/>
                    <w:bottom w:val="none" w:sz="0" w:space="0" w:color="auto"/>
                    <w:right w:val="none" w:sz="0" w:space="0" w:color="auto"/>
                  </w:divBdr>
                  <w:divsChild>
                    <w:div w:id="2122456389">
                      <w:marLeft w:val="0"/>
                      <w:marRight w:val="0"/>
                      <w:marTop w:val="0"/>
                      <w:marBottom w:val="0"/>
                      <w:divBdr>
                        <w:top w:val="none" w:sz="0" w:space="0" w:color="auto"/>
                        <w:left w:val="none" w:sz="0" w:space="0" w:color="auto"/>
                        <w:bottom w:val="none" w:sz="0" w:space="0" w:color="auto"/>
                        <w:right w:val="none" w:sz="0" w:space="0" w:color="auto"/>
                      </w:divBdr>
                    </w:div>
                    <w:div w:id="1732075472">
                      <w:marLeft w:val="0"/>
                      <w:marRight w:val="0"/>
                      <w:marTop w:val="0"/>
                      <w:marBottom w:val="0"/>
                      <w:divBdr>
                        <w:top w:val="none" w:sz="0" w:space="0" w:color="auto"/>
                        <w:left w:val="none" w:sz="0" w:space="0" w:color="auto"/>
                        <w:bottom w:val="none" w:sz="0" w:space="0" w:color="auto"/>
                        <w:right w:val="none" w:sz="0" w:space="0" w:color="auto"/>
                      </w:divBdr>
                    </w:div>
                  </w:divsChild>
                </w:div>
                <w:div w:id="309096439">
                  <w:marLeft w:val="0"/>
                  <w:marRight w:val="0"/>
                  <w:marTop w:val="0"/>
                  <w:marBottom w:val="0"/>
                  <w:divBdr>
                    <w:top w:val="none" w:sz="0" w:space="0" w:color="auto"/>
                    <w:left w:val="none" w:sz="0" w:space="0" w:color="auto"/>
                    <w:bottom w:val="none" w:sz="0" w:space="0" w:color="auto"/>
                    <w:right w:val="none" w:sz="0" w:space="0" w:color="auto"/>
                  </w:divBdr>
                  <w:divsChild>
                    <w:div w:id="1961951870">
                      <w:marLeft w:val="0"/>
                      <w:marRight w:val="0"/>
                      <w:marTop w:val="0"/>
                      <w:marBottom w:val="0"/>
                      <w:divBdr>
                        <w:top w:val="none" w:sz="0" w:space="0" w:color="auto"/>
                        <w:left w:val="none" w:sz="0" w:space="0" w:color="auto"/>
                        <w:bottom w:val="none" w:sz="0" w:space="0" w:color="auto"/>
                        <w:right w:val="none" w:sz="0" w:space="0" w:color="auto"/>
                      </w:divBdr>
                    </w:div>
                  </w:divsChild>
                </w:div>
                <w:div w:id="1470827208">
                  <w:marLeft w:val="0"/>
                  <w:marRight w:val="0"/>
                  <w:marTop w:val="0"/>
                  <w:marBottom w:val="0"/>
                  <w:divBdr>
                    <w:top w:val="none" w:sz="0" w:space="0" w:color="auto"/>
                    <w:left w:val="none" w:sz="0" w:space="0" w:color="auto"/>
                    <w:bottom w:val="none" w:sz="0" w:space="0" w:color="auto"/>
                    <w:right w:val="none" w:sz="0" w:space="0" w:color="auto"/>
                  </w:divBdr>
                  <w:divsChild>
                    <w:div w:id="3034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470263">
          <w:marLeft w:val="0"/>
          <w:marRight w:val="0"/>
          <w:marTop w:val="0"/>
          <w:marBottom w:val="0"/>
          <w:divBdr>
            <w:top w:val="none" w:sz="0" w:space="0" w:color="auto"/>
            <w:left w:val="none" w:sz="0" w:space="0" w:color="auto"/>
            <w:bottom w:val="none" w:sz="0" w:space="0" w:color="auto"/>
            <w:right w:val="none" w:sz="0" w:space="0" w:color="auto"/>
          </w:divBdr>
          <w:divsChild>
            <w:div w:id="531187085">
              <w:marLeft w:val="0"/>
              <w:marRight w:val="0"/>
              <w:marTop w:val="0"/>
              <w:marBottom w:val="0"/>
              <w:divBdr>
                <w:top w:val="none" w:sz="0" w:space="0" w:color="auto"/>
                <w:left w:val="none" w:sz="0" w:space="0" w:color="auto"/>
                <w:bottom w:val="none" w:sz="0" w:space="0" w:color="auto"/>
                <w:right w:val="none" w:sz="0" w:space="0" w:color="auto"/>
              </w:divBdr>
              <w:divsChild>
                <w:div w:id="1951929508">
                  <w:marLeft w:val="0"/>
                  <w:marRight w:val="0"/>
                  <w:marTop w:val="0"/>
                  <w:marBottom w:val="0"/>
                  <w:divBdr>
                    <w:top w:val="none" w:sz="0" w:space="0" w:color="auto"/>
                    <w:left w:val="none" w:sz="0" w:space="0" w:color="auto"/>
                    <w:bottom w:val="none" w:sz="0" w:space="0" w:color="auto"/>
                    <w:right w:val="none" w:sz="0" w:space="0" w:color="auto"/>
                  </w:divBdr>
                  <w:divsChild>
                    <w:div w:id="908999200">
                      <w:marLeft w:val="0"/>
                      <w:marRight w:val="0"/>
                      <w:marTop w:val="0"/>
                      <w:marBottom w:val="0"/>
                      <w:divBdr>
                        <w:top w:val="none" w:sz="0" w:space="0" w:color="auto"/>
                        <w:left w:val="none" w:sz="0" w:space="0" w:color="auto"/>
                        <w:bottom w:val="none" w:sz="0" w:space="0" w:color="auto"/>
                        <w:right w:val="none" w:sz="0" w:space="0" w:color="auto"/>
                      </w:divBdr>
                    </w:div>
                  </w:divsChild>
                </w:div>
                <w:div w:id="1571844737">
                  <w:marLeft w:val="0"/>
                  <w:marRight w:val="0"/>
                  <w:marTop w:val="0"/>
                  <w:marBottom w:val="0"/>
                  <w:divBdr>
                    <w:top w:val="none" w:sz="0" w:space="0" w:color="auto"/>
                    <w:left w:val="none" w:sz="0" w:space="0" w:color="auto"/>
                    <w:bottom w:val="none" w:sz="0" w:space="0" w:color="auto"/>
                    <w:right w:val="none" w:sz="0" w:space="0" w:color="auto"/>
                  </w:divBdr>
                  <w:divsChild>
                    <w:div w:id="1793787209">
                      <w:marLeft w:val="0"/>
                      <w:marRight w:val="0"/>
                      <w:marTop w:val="0"/>
                      <w:marBottom w:val="0"/>
                      <w:divBdr>
                        <w:top w:val="none" w:sz="0" w:space="0" w:color="auto"/>
                        <w:left w:val="none" w:sz="0" w:space="0" w:color="auto"/>
                        <w:bottom w:val="none" w:sz="0" w:space="0" w:color="auto"/>
                        <w:right w:val="none" w:sz="0" w:space="0" w:color="auto"/>
                      </w:divBdr>
                    </w:div>
                  </w:divsChild>
                </w:div>
                <w:div w:id="1059476671">
                  <w:marLeft w:val="0"/>
                  <w:marRight w:val="0"/>
                  <w:marTop w:val="0"/>
                  <w:marBottom w:val="0"/>
                  <w:divBdr>
                    <w:top w:val="none" w:sz="0" w:space="0" w:color="auto"/>
                    <w:left w:val="none" w:sz="0" w:space="0" w:color="auto"/>
                    <w:bottom w:val="none" w:sz="0" w:space="0" w:color="auto"/>
                    <w:right w:val="none" w:sz="0" w:space="0" w:color="auto"/>
                  </w:divBdr>
                  <w:divsChild>
                    <w:div w:id="2078240977">
                      <w:marLeft w:val="0"/>
                      <w:marRight w:val="0"/>
                      <w:marTop w:val="0"/>
                      <w:marBottom w:val="0"/>
                      <w:divBdr>
                        <w:top w:val="none" w:sz="0" w:space="0" w:color="auto"/>
                        <w:left w:val="none" w:sz="0" w:space="0" w:color="auto"/>
                        <w:bottom w:val="none" w:sz="0" w:space="0" w:color="auto"/>
                        <w:right w:val="none" w:sz="0" w:space="0" w:color="auto"/>
                      </w:divBdr>
                    </w:div>
                    <w:div w:id="870612492">
                      <w:marLeft w:val="0"/>
                      <w:marRight w:val="0"/>
                      <w:marTop w:val="0"/>
                      <w:marBottom w:val="0"/>
                      <w:divBdr>
                        <w:top w:val="none" w:sz="0" w:space="0" w:color="auto"/>
                        <w:left w:val="none" w:sz="0" w:space="0" w:color="auto"/>
                        <w:bottom w:val="none" w:sz="0" w:space="0" w:color="auto"/>
                        <w:right w:val="none" w:sz="0" w:space="0" w:color="auto"/>
                      </w:divBdr>
                    </w:div>
                  </w:divsChild>
                </w:div>
                <w:div w:id="869222567">
                  <w:marLeft w:val="0"/>
                  <w:marRight w:val="0"/>
                  <w:marTop w:val="0"/>
                  <w:marBottom w:val="0"/>
                  <w:divBdr>
                    <w:top w:val="none" w:sz="0" w:space="0" w:color="auto"/>
                    <w:left w:val="none" w:sz="0" w:space="0" w:color="auto"/>
                    <w:bottom w:val="none" w:sz="0" w:space="0" w:color="auto"/>
                    <w:right w:val="none" w:sz="0" w:space="0" w:color="auto"/>
                  </w:divBdr>
                  <w:divsChild>
                    <w:div w:id="1101147074">
                      <w:marLeft w:val="0"/>
                      <w:marRight w:val="0"/>
                      <w:marTop w:val="0"/>
                      <w:marBottom w:val="0"/>
                      <w:divBdr>
                        <w:top w:val="none" w:sz="0" w:space="0" w:color="auto"/>
                        <w:left w:val="none" w:sz="0" w:space="0" w:color="auto"/>
                        <w:bottom w:val="none" w:sz="0" w:space="0" w:color="auto"/>
                        <w:right w:val="none" w:sz="0" w:space="0" w:color="auto"/>
                      </w:divBdr>
                    </w:div>
                  </w:divsChild>
                </w:div>
                <w:div w:id="516231834">
                  <w:marLeft w:val="0"/>
                  <w:marRight w:val="0"/>
                  <w:marTop w:val="0"/>
                  <w:marBottom w:val="0"/>
                  <w:divBdr>
                    <w:top w:val="none" w:sz="0" w:space="0" w:color="auto"/>
                    <w:left w:val="none" w:sz="0" w:space="0" w:color="auto"/>
                    <w:bottom w:val="none" w:sz="0" w:space="0" w:color="auto"/>
                    <w:right w:val="none" w:sz="0" w:space="0" w:color="auto"/>
                  </w:divBdr>
                  <w:divsChild>
                    <w:div w:id="968704808">
                      <w:marLeft w:val="0"/>
                      <w:marRight w:val="0"/>
                      <w:marTop w:val="0"/>
                      <w:marBottom w:val="0"/>
                      <w:divBdr>
                        <w:top w:val="none" w:sz="0" w:space="0" w:color="auto"/>
                        <w:left w:val="none" w:sz="0" w:space="0" w:color="auto"/>
                        <w:bottom w:val="none" w:sz="0" w:space="0" w:color="auto"/>
                        <w:right w:val="none" w:sz="0" w:space="0" w:color="auto"/>
                      </w:divBdr>
                    </w:div>
                    <w:div w:id="209789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710028">
          <w:marLeft w:val="0"/>
          <w:marRight w:val="0"/>
          <w:marTop w:val="0"/>
          <w:marBottom w:val="0"/>
          <w:divBdr>
            <w:top w:val="none" w:sz="0" w:space="0" w:color="auto"/>
            <w:left w:val="none" w:sz="0" w:space="0" w:color="auto"/>
            <w:bottom w:val="none" w:sz="0" w:space="0" w:color="auto"/>
            <w:right w:val="none" w:sz="0" w:space="0" w:color="auto"/>
          </w:divBdr>
          <w:divsChild>
            <w:div w:id="2017223086">
              <w:marLeft w:val="0"/>
              <w:marRight w:val="0"/>
              <w:marTop w:val="0"/>
              <w:marBottom w:val="0"/>
              <w:divBdr>
                <w:top w:val="none" w:sz="0" w:space="0" w:color="auto"/>
                <w:left w:val="none" w:sz="0" w:space="0" w:color="auto"/>
                <w:bottom w:val="none" w:sz="0" w:space="0" w:color="auto"/>
                <w:right w:val="none" w:sz="0" w:space="0" w:color="auto"/>
              </w:divBdr>
              <w:divsChild>
                <w:div w:id="735780968">
                  <w:marLeft w:val="0"/>
                  <w:marRight w:val="0"/>
                  <w:marTop w:val="0"/>
                  <w:marBottom w:val="0"/>
                  <w:divBdr>
                    <w:top w:val="none" w:sz="0" w:space="0" w:color="auto"/>
                    <w:left w:val="none" w:sz="0" w:space="0" w:color="auto"/>
                    <w:bottom w:val="none" w:sz="0" w:space="0" w:color="auto"/>
                    <w:right w:val="none" w:sz="0" w:space="0" w:color="auto"/>
                  </w:divBdr>
                  <w:divsChild>
                    <w:div w:id="1601643413">
                      <w:marLeft w:val="0"/>
                      <w:marRight w:val="0"/>
                      <w:marTop w:val="0"/>
                      <w:marBottom w:val="0"/>
                      <w:divBdr>
                        <w:top w:val="none" w:sz="0" w:space="0" w:color="auto"/>
                        <w:left w:val="none" w:sz="0" w:space="0" w:color="auto"/>
                        <w:bottom w:val="none" w:sz="0" w:space="0" w:color="auto"/>
                        <w:right w:val="none" w:sz="0" w:space="0" w:color="auto"/>
                      </w:divBdr>
                    </w:div>
                    <w:div w:id="702942030">
                      <w:marLeft w:val="0"/>
                      <w:marRight w:val="0"/>
                      <w:marTop w:val="0"/>
                      <w:marBottom w:val="0"/>
                      <w:divBdr>
                        <w:top w:val="none" w:sz="0" w:space="0" w:color="auto"/>
                        <w:left w:val="none" w:sz="0" w:space="0" w:color="auto"/>
                        <w:bottom w:val="none" w:sz="0" w:space="0" w:color="auto"/>
                        <w:right w:val="none" w:sz="0" w:space="0" w:color="auto"/>
                      </w:divBdr>
                    </w:div>
                  </w:divsChild>
                </w:div>
                <w:div w:id="518280338">
                  <w:marLeft w:val="0"/>
                  <w:marRight w:val="0"/>
                  <w:marTop w:val="0"/>
                  <w:marBottom w:val="0"/>
                  <w:divBdr>
                    <w:top w:val="none" w:sz="0" w:space="0" w:color="auto"/>
                    <w:left w:val="none" w:sz="0" w:space="0" w:color="auto"/>
                    <w:bottom w:val="none" w:sz="0" w:space="0" w:color="auto"/>
                    <w:right w:val="none" w:sz="0" w:space="0" w:color="auto"/>
                  </w:divBdr>
                  <w:divsChild>
                    <w:div w:id="99032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195322">
          <w:marLeft w:val="0"/>
          <w:marRight w:val="0"/>
          <w:marTop w:val="0"/>
          <w:marBottom w:val="0"/>
          <w:divBdr>
            <w:top w:val="none" w:sz="0" w:space="0" w:color="auto"/>
            <w:left w:val="none" w:sz="0" w:space="0" w:color="auto"/>
            <w:bottom w:val="none" w:sz="0" w:space="0" w:color="auto"/>
            <w:right w:val="none" w:sz="0" w:space="0" w:color="auto"/>
          </w:divBdr>
          <w:divsChild>
            <w:div w:id="1317877609">
              <w:marLeft w:val="0"/>
              <w:marRight w:val="0"/>
              <w:marTop w:val="0"/>
              <w:marBottom w:val="0"/>
              <w:divBdr>
                <w:top w:val="none" w:sz="0" w:space="0" w:color="auto"/>
                <w:left w:val="none" w:sz="0" w:space="0" w:color="auto"/>
                <w:bottom w:val="none" w:sz="0" w:space="0" w:color="auto"/>
                <w:right w:val="none" w:sz="0" w:space="0" w:color="auto"/>
              </w:divBdr>
              <w:divsChild>
                <w:div w:id="256911004">
                  <w:marLeft w:val="0"/>
                  <w:marRight w:val="0"/>
                  <w:marTop w:val="0"/>
                  <w:marBottom w:val="0"/>
                  <w:divBdr>
                    <w:top w:val="none" w:sz="0" w:space="0" w:color="auto"/>
                    <w:left w:val="none" w:sz="0" w:space="0" w:color="auto"/>
                    <w:bottom w:val="none" w:sz="0" w:space="0" w:color="auto"/>
                    <w:right w:val="none" w:sz="0" w:space="0" w:color="auto"/>
                  </w:divBdr>
                  <w:divsChild>
                    <w:div w:id="1558053230">
                      <w:marLeft w:val="0"/>
                      <w:marRight w:val="0"/>
                      <w:marTop w:val="0"/>
                      <w:marBottom w:val="0"/>
                      <w:divBdr>
                        <w:top w:val="none" w:sz="0" w:space="0" w:color="auto"/>
                        <w:left w:val="none" w:sz="0" w:space="0" w:color="auto"/>
                        <w:bottom w:val="none" w:sz="0" w:space="0" w:color="auto"/>
                        <w:right w:val="none" w:sz="0" w:space="0" w:color="auto"/>
                      </w:divBdr>
                    </w:div>
                    <w:div w:id="1808356411">
                      <w:marLeft w:val="0"/>
                      <w:marRight w:val="0"/>
                      <w:marTop w:val="0"/>
                      <w:marBottom w:val="0"/>
                      <w:divBdr>
                        <w:top w:val="none" w:sz="0" w:space="0" w:color="auto"/>
                        <w:left w:val="none" w:sz="0" w:space="0" w:color="auto"/>
                        <w:bottom w:val="none" w:sz="0" w:space="0" w:color="auto"/>
                        <w:right w:val="none" w:sz="0" w:space="0" w:color="auto"/>
                      </w:divBdr>
                    </w:div>
                  </w:divsChild>
                </w:div>
                <w:div w:id="1698237157">
                  <w:marLeft w:val="0"/>
                  <w:marRight w:val="0"/>
                  <w:marTop w:val="0"/>
                  <w:marBottom w:val="0"/>
                  <w:divBdr>
                    <w:top w:val="none" w:sz="0" w:space="0" w:color="auto"/>
                    <w:left w:val="none" w:sz="0" w:space="0" w:color="auto"/>
                    <w:bottom w:val="none" w:sz="0" w:space="0" w:color="auto"/>
                    <w:right w:val="none" w:sz="0" w:space="0" w:color="auto"/>
                  </w:divBdr>
                  <w:divsChild>
                    <w:div w:id="1365249027">
                      <w:marLeft w:val="0"/>
                      <w:marRight w:val="0"/>
                      <w:marTop w:val="0"/>
                      <w:marBottom w:val="0"/>
                      <w:divBdr>
                        <w:top w:val="none" w:sz="0" w:space="0" w:color="auto"/>
                        <w:left w:val="none" w:sz="0" w:space="0" w:color="auto"/>
                        <w:bottom w:val="none" w:sz="0" w:space="0" w:color="auto"/>
                        <w:right w:val="none" w:sz="0" w:space="0" w:color="auto"/>
                      </w:divBdr>
                    </w:div>
                    <w:div w:id="1716003439">
                      <w:marLeft w:val="0"/>
                      <w:marRight w:val="0"/>
                      <w:marTop w:val="0"/>
                      <w:marBottom w:val="0"/>
                      <w:divBdr>
                        <w:top w:val="none" w:sz="0" w:space="0" w:color="auto"/>
                        <w:left w:val="none" w:sz="0" w:space="0" w:color="auto"/>
                        <w:bottom w:val="none" w:sz="0" w:space="0" w:color="auto"/>
                        <w:right w:val="none" w:sz="0" w:space="0" w:color="auto"/>
                      </w:divBdr>
                    </w:div>
                    <w:div w:id="84230198">
                      <w:marLeft w:val="0"/>
                      <w:marRight w:val="0"/>
                      <w:marTop w:val="0"/>
                      <w:marBottom w:val="0"/>
                      <w:divBdr>
                        <w:top w:val="none" w:sz="0" w:space="0" w:color="auto"/>
                        <w:left w:val="none" w:sz="0" w:space="0" w:color="auto"/>
                        <w:bottom w:val="none" w:sz="0" w:space="0" w:color="auto"/>
                        <w:right w:val="none" w:sz="0" w:space="0" w:color="auto"/>
                      </w:divBdr>
                    </w:div>
                  </w:divsChild>
                </w:div>
                <w:div w:id="1663965318">
                  <w:marLeft w:val="0"/>
                  <w:marRight w:val="0"/>
                  <w:marTop w:val="0"/>
                  <w:marBottom w:val="0"/>
                  <w:divBdr>
                    <w:top w:val="none" w:sz="0" w:space="0" w:color="auto"/>
                    <w:left w:val="none" w:sz="0" w:space="0" w:color="auto"/>
                    <w:bottom w:val="none" w:sz="0" w:space="0" w:color="auto"/>
                    <w:right w:val="none" w:sz="0" w:space="0" w:color="auto"/>
                  </w:divBdr>
                  <w:divsChild>
                    <w:div w:id="199579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685283">
          <w:marLeft w:val="0"/>
          <w:marRight w:val="0"/>
          <w:marTop w:val="0"/>
          <w:marBottom w:val="0"/>
          <w:divBdr>
            <w:top w:val="none" w:sz="0" w:space="0" w:color="auto"/>
            <w:left w:val="none" w:sz="0" w:space="0" w:color="auto"/>
            <w:bottom w:val="none" w:sz="0" w:space="0" w:color="auto"/>
            <w:right w:val="none" w:sz="0" w:space="0" w:color="auto"/>
          </w:divBdr>
          <w:divsChild>
            <w:div w:id="1746106618">
              <w:marLeft w:val="0"/>
              <w:marRight w:val="0"/>
              <w:marTop w:val="0"/>
              <w:marBottom w:val="0"/>
              <w:divBdr>
                <w:top w:val="none" w:sz="0" w:space="0" w:color="auto"/>
                <w:left w:val="none" w:sz="0" w:space="0" w:color="auto"/>
                <w:bottom w:val="none" w:sz="0" w:space="0" w:color="auto"/>
                <w:right w:val="none" w:sz="0" w:space="0" w:color="auto"/>
              </w:divBdr>
              <w:divsChild>
                <w:div w:id="2086562471">
                  <w:marLeft w:val="0"/>
                  <w:marRight w:val="0"/>
                  <w:marTop w:val="0"/>
                  <w:marBottom w:val="0"/>
                  <w:divBdr>
                    <w:top w:val="none" w:sz="0" w:space="0" w:color="auto"/>
                    <w:left w:val="none" w:sz="0" w:space="0" w:color="auto"/>
                    <w:bottom w:val="none" w:sz="0" w:space="0" w:color="auto"/>
                    <w:right w:val="none" w:sz="0" w:space="0" w:color="auto"/>
                  </w:divBdr>
                  <w:divsChild>
                    <w:div w:id="989988545">
                      <w:marLeft w:val="0"/>
                      <w:marRight w:val="0"/>
                      <w:marTop w:val="0"/>
                      <w:marBottom w:val="0"/>
                      <w:divBdr>
                        <w:top w:val="none" w:sz="0" w:space="0" w:color="auto"/>
                        <w:left w:val="none" w:sz="0" w:space="0" w:color="auto"/>
                        <w:bottom w:val="none" w:sz="0" w:space="0" w:color="auto"/>
                        <w:right w:val="none" w:sz="0" w:space="0" w:color="auto"/>
                      </w:divBdr>
                    </w:div>
                    <w:div w:id="508985276">
                      <w:marLeft w:val="0"/>
                      <w:marRight w:val="0"/>
                      <w:marTop w:val="0"/>
                      <w:marBottom w:val="0"/>
                      <w:divBdr>
                        <w:top w:val="none" w:sz="0" w:space="0" w:color="auto"/>
                        <w:left w:val="none" w:sz="0" w:space="0" w:color="auto"/>
                        <w:bottom w:val="none" w:sz="0" w:space="0" w:color="auto"/>
                        <w:right w:val="none" w:sz="0" w:space="0" w:color="auto"/>
                      </w:divBdr>
                    </w:div>
                  </w:divsChild>
                </w:div>
                <w:div w:id="2001157364">
                  <w:marLeft w:val="0"/>
                  <w:marRight w:val="0"/>
                  <w:marTop w:val="0"/>
                  <w:marBottom w:val="0"/>
                  <w:divBdr>
                    <w:top w:val="none" w:sz="0" w:space="0" w:color="auto"/>
                    <w:left w:val="none" w:sz="0" w:space="0" w:color="auto"/>
                    <w:bottom w:val="none" w:sz="0" w:space="0" w:color="auto"/>
                    <w:right w:val="none" w:sz="0" w:space="0" w:color="auto"/>
                  </w:divBdr>
                  <w:divsChild>
                    <w:div w:id="103496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87758">
          <w:marLeft w:val="0"/>
          <w:marRight w:val="0"/>
          <w:marTop w:val="0"/>
          <w:marBottom w:val="0"/>
          <w:divBdr>
            <w:top w:val="none" w:sz="0" w:space="0" w:color="auto"/>
            <w:left w:val="none" w:sz="0" w:space="0" w:color="auto"/>
            <w:bottom w:val="none" w:sz="0" w:space="0" w:color="auto"/>
            <w:right w:val="none" w:sz="0" w:space="0" w:color="auto"/>
          </w:divBdr>
          <w:divsChild>
            <w:div w:id="1063411497">
              <w:marLeft w:val="0"/>
              <w:marRight w:val="0"/>
              <w:marTop w:val="0"/>
              <w:marBottom w:val="0"/>
              <w:divBdr>
                <w:top w:val="none" w:sz="0" w:space="0" w:color="auto"/>
                <w:left w:val="none" w:sz="0" w:space="0" w:color="auto"/>
                <w:bottom w:val="none" w:sz="0" w:space="0" w:color="auto"/>
                <w:right w:val="none" w:sz="0" w:space="0" w:color="auto"/>
              </w:divBdr>
              <w:divsChild>
                <w:div w:id="1185754203">
                  <w:marLeft w:val="0"/>
                  <w:marRight w:val="0"/>
                  <w:marTop w:val="0"/>
                  <w:marBottom w:val="0"/>
                  <w:divBdr>
                    <w:top w:val="none" w:sz="0" w:space="0" w:color="auto"/>
                    <w:left w:val="none" w:sz="0" w:space="0" w:color="auto"/>
                    <w:bottom w:val="none" w:sz="0" w:space="0" w:color="auto"/>
                    <w:right w:val="none" w:sz="0" w:space="0" w:color="auto"/>
                  </w:divBdr>
                  <w:divsChild>
                    <w:div w:id="759134852">
                      <w:marLeft w:val="0"/>
                      <w:marRight w:val="0"/>
                      <w:marTop w:val="0"/>
                      <w:marBottom w:val="0"/>
                      <w:divBdr>
                        <w:top w:val="none" w:sz="0" w:space="0" w:color="auto"/>
                        <w:left w:val="none" w:sz="0" w:space="0" w:color="auto"/>
                        <w:bottom w:val="none" w:sz="0" w:space="0" w:color="auto"/>
                        <w:right w:val="none" w:sz="0" w:space="0" w:color="auto"/>
                      </w:divBdr>
                    </w:div>
                  </w:divsChild>
                </w:div>
                <w:div w:id="1006902537">
                  <w:marLeft w:val="0"/>
                  <w:marRight w:val="0"/>
                  <w:marTop w:val="0"/>
                  <w:marBottom w:val="0"/>
                  <w:divBdr>
                    <w:top w:val="none" w:sz="0" w:space="0" w:color="auto"/>
                    <w:left w:val="none" w:sz="0" w:space="0" w:color="auto"/>
                    <w:bottom w:val="none" w:sz="0" w:space="0" w:color="auto"/>
                    <w:right w:val="none" w:sz="0" w:space="0" w:color="auto"/>
                  </w:divBdr>
                  <w:divsChild>
                    <w:div w:id="579488851">
                      <w:marLeft w:val="0"/>
                      <w:marRight w:val="0"/>
                      <w:marTop w:val="0"/>
                      <w:marBottom w:val="0"/>
                      <w:divBdr>
                        <w:top w:val="none" w:sz="0" w:space="0" w:color="auto"/>
                        <w:left w:val="none" w:sz="0" w:space="0" w:color="auto"/>
                        <w:bottom w:val="none" w:sz="0" w:space="0" w:color="auto"/>
                        <w:right w:val="none" w:sz="0" w:space="0" w:color="auto"/>
                      </w:divBdr>
                    </w:div>
                  </w:divsChild>
                </w:div>
                <w:div w:id="1532456394">
                  <w:marLeft w:val="0"/>
                  <w:marRight w:val="0"/>
                  <w:marTop w:val="0"/>
                  <w:marBottom w:val="0"/>
                  <w:divBdr>
                    <w:top w:val="none" w:sz="0" w:space="0" w:color="auto"/>
                    <w:left w:val="none" w:sz="0" w:space="0" w:color="auto"/>
                    <w:bottom w:val="none" w:sz="0" w:space="0" w:color="auto"/>
                    <w:right w:val="none" w:sz="0" w:space="0" w:color="auto"/>
                  </w:divBdr>
                  <w:divsChild>
                    <w:div w:id="20134415">
                      <w:marLeft w:val="0"/>
                      <w:marRight w:val="0"/>
                      <w:marTop w:val="0"/>
                      <w:marBottom w:val="0"/>
                      <w:divBdr>
                        <w:top w:val="none" w:sz="0" w:space="0" w:color="auto"/>
                        <w:left w:val="none" w:sz="0" w:space="0" w:color="auto"/>
                        <w:bottom w:val="none" w:sz="0" w:space="0" w:color="auto"/>
                        <w:right w:val="none" w:sz="0" w:space="0" w:color="auto"/>
                      </w:divBdr>
                    </w:div>
                    <w:div w:id="1819106746">
                      <w:marLeft w:val="0"/>
                      <w:marRight w:val="0"/>
                      <w:marTop w:val="0"/>
                      <w:marBottom w:val="0"/>
                      <w:divBdr>
                        <w:top w:val="none" w:sz="0" w:space="0" w:color="auto"/>
                        <w:left w:val="none" w:sz="0" w:space="0" w:color="auto"/>
                        <w:bottom w:val="none" w:sz="0" w:space="0" w:color="auto"/>
                        <w:right w:val="none" w:sz="0" w:space="0" w:color="auto"/>
                      </w:divBdr>
                    </w:div>
                  </w:divsChild>
                </w:div>
                <w:div w:id="2011058110">
                  <w:marLeft w:val="0"/>
                  <w:marRight w:val="0"/>
                  <w:marTop w:val="0"/>
                  <w:marBottom w:val="0"/>
                  <w:divBdr>
                    <w:top w:val="none" w:sz="0" w:space="0" w:color="auto"/>
                    <w:left w:val="none" w:sz="0" w:space="0" w:color="auto"/>
                    <w:bottom w:val="none" w:sz="0" w:space="0" w:color="auto"/>
                    <w:right w:val="none" w:sz="0" w:space="0" w:color="auto"/>
                  </w:divBdr>
                  <w:divsChild>
                    <w:div w:id="53234553">
                      <w:marLeft w:val="0"/>
                      <w:marRight w:val="0"/>
                      <w:marTop w:val="0"/>
                      <w:marBottom w:val="0"/>
                      <w:divBdr>
                        <w:top w:val="none" w:sz="0" w:space="0" w:color="auto"/>
                        <w:left w:val="none" w:sz="0" w:space="0" w:color="auto"/>
                        <w:bottom w:val="none" w:sz="0" w:space="0" w:color="auto"/>
                        <w:right w:val="none" w:sz="0" w:space="0" w:color="auto"/>
                      </w:divBdr>
                    </w:div>
                  </w:divsChild>
                </w:div>
                <w:div w:id="887375386">
                  <w:marLeft w:val="0"/>
                  <w:marRight w:val="0"/>
                  <w:marTop w:val="0"/>
                  <w:marBottom w:val="0"/>
                  <w:divBdr>
                    <w:top w:val="none" w:sz="0" w:space="0" w:color="auto"/>
                    <w:left w:val="none" w:sz="0" w:space="0" w:color="auto"/>
                    <w:bottom w:val="none" w:sz="0" w:space="0" w:color="auto"/>
                    <w:right w:val="none" w:sz="0" w:space="0" w:color="auto"/>
                  </w:divBdr>
                  <w:divsChild>
                    <w:div w:id="1350910108">
                      <w:marLeft w:val="0"/>
                      <w:marRight w:val="0"/>
                      <w:marTop w:val="0"/>
                      <w:marBottom w:val="0"/>
                      <w:divBdr>
                        <w:top w:val="none" w:sz="0" w:space="0" w:color="auto"/>
                        <w:left w:val="none" w:sz="0" w:space="0" w:color="auto"/>
                        <w:bottom w:val="none" w:sz="0" w:space="0" w:color="auto"/>
                        <w:right w:val="none" w:sz="0" w:space="0" w:color="auto"/>
                      </w:divBdr>
                    </w:div>
                    <w:div w:id="1253319947">
                      <w:marLeft w:val="0"/>
                      <w:marRight w:val="0"/>
                      <w:marTop w:val="0"/>
                      <w:marBottom w:val="0"/>
                      <w:divBdr>
                        <w:top w:val="none" w:sz="0" w:space="0" w:color="auto"/>
                        <w:left w:val="none" w:sz="0" w:space="0" w:color="auto"/>
                        <w:bottom w:val="none" w:sz="0" w:space="0" w:color="auto"/>
                        <w:right w:val="none" w:sz="0" w:space="0" w:color="auto"/>
                      </w:divBdr>
                    </w:div>
                  </w:divsChild>
                </w:div>
                <w:div w:id="1864514786">
                  <w:marLeft w:val="0"/>
                  <w:marRight w:val="0"/>
                  <w:marTop w:val="0"/>
                  <w:marBottom w:val="0"/>
                  <w:divBdr>
                    <w:top w:val="none" w:sz="0" w:space="0" w:color="auto"/>
                    <w:left w:val="none" w:sz="0" w:space="0" w:color="auto"/>
                    <w:bottom w:val="none" w:sz="0" w:space="0" w:color="auto"/>
                    <w:right w:val="none" w:sz="0" w:space="0" w:color="auto"/>
                  </w:divBdr>
                  <w:divsChild>
                    <w:div w:id="157162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757588">
          <w:marLeft w:val="0"/>
          <w:marRight w:val="0"/>
          <w:marTop w:val="0"/>
          <w:marBottom w:val="0"/>
          <w:divBdr>
            <w:top w:val="none" w:sz="0" w:space="0" w:color="auto"/>
            <w:left w:val="none" w:sz="0" w:space="0" w:color="auto"/>
            <w:bottom w:val="none" w:sz="0" w:space="0" w:color="auto"/>
            <w:right w:val="none" w:sz="0" w:space="0" w:color="auto"/>
          </w:divBdr>
          <w:divsChild>
            <w:div w:id="1697003543">
              <w:marLeft w:val="0"/>
              <w:marRight w:val="0"/>
              <w:marTop w:val="0"/>
              <w:marBottom w:val="0"/>
              <w:divBdr>
                <w:top w:val="none" w:sz="0" w:space="0" w:color="auto"/>
                <w:left w:val="none" w:sz="0" w:space="0" w:color="auto"/>
                <w:bottom w:val="none" w:sz="0" w:space="0" w:color="auto"/>
                <w:right w:val="none" w:sz="0" w:space="0" w:color="auto"/>
              </w:divBdr>
              <w:divsChild>
                <w:div w:id="357850392">
                  <w:marLeft w:val="0"/>
                  <w:marRight w:val="0"/>
                  <w:marTop w:val="0"/>
                  <w:marBottom w:val="0"/>
                  <w:divBdr>
                    <w:top w:val="none" w:sz="0" w:space="0" w:color="auto"/>
                    <w:left w:val="none" w:sz="0" w:space="0" w:color="auto"/>
                    <w:bottom w:val="none" w:sz="0" w:space="0" w:color="auto"/>
                    <w:right w:val="none" w:sz="0" w:space="0" w:color="auto"/>
                  </w:divBdr>
                  <w:divsChild>
                    <w:div w:id="1655262157">
                      <w:marLeft w:val="0"/>
                      <w:marRight w:val="0"/>
                      <w:marTop w:val="0"/>
                      <w:marBottom w:val="0"/>
                      <w:divBdr>
                        <w:top w:val="none" w:sz="0" w:space="0" w:color="auto"/>
                        <w:left w:val="none" w:sz="0" w:space="0" w:color="auto"/>
                        <w:bottom w:val="none" w:sz="0" w:space="0" w:color="auto"/>
                        <w:right w:val="none" w:sz="0" w:space="0" w:color="auto"/>
                      </w:divBdr>
                    </w:div>
                  </w:divsChild>
                </w:div>
                <w:div w:id="944996343">
                  <w:marLeft w:val="0"/>
                  <w:marRight w:val="0"/>
                  <w:marTop w:val="0"/>
                  <w:marBottom w:val="0"/>
                  <w:divBdr>
                    <w:top w:val="none" w:sz="0" w:space="0" w:color="auto"/>
                    <w:left w:val="none" w:sz="0" w:space="0" w:color="auto"/>
                    <w:bottom w:val="none" w:sz="0" w:space="0" w:color="auto"/>
                    <w:right w:val="none" w:sz="0" w:space="0" w:color="auto"/>
                  </w:divBdr>
                  <w:divsChild>
                    <w:div w:id="80828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528205">
          <w:marLeft w:val="0"/>
          <w:marRight w:val="0"/>
          <w:marTop w:val="0"/>
          <w:marBottom w:val="0"/>
          <w:divBdr>
            <w:top w:val="none" w:sz="0" w:space="0" w:color="auto"/>
            <w:left w:val="none" w:sz="0" w:space="0" w:color="auto"/>
            <w:bottom w:val="none" w:sz="0" w:space="0" w:color="auto"/>
            <w:right w:val="none" w:sz="0" w:space="0" w:color="auto"/>
          </w:divBdr>
          <w:divsChild>
            <w:div w:id="480003538">
              <w:marLeft w:val="0"/>
              <w:marRight w:val="0"/>
              <w:marTop w:val="0"/>
              <w:marBottom w:val="0"/>
              <w:divBdr>
                <w:top w:val="none" w:sz="0" w:space="0" w:color="auto"/>
                <w:left w:val="none" w:sz="0" w:space="0" w:color="auto"/>
                <w:bottom w:val="none" w:sz="0" w:space="0" w:color="auto"/>
                <w:right w:val="none" w:sz="0" w:space="0" w:color="auto"/>
              </w:divBdr>
              <w:divsChild>
                <w:div w:id="1545143930">
                  <w:marLeft w:val="0"/>
                  <w:marRight w:val="0"/>
                  <w:marTop w:val="0"/>
                  <w:marBottom w:val="0"/>
                  <w:divBdr>
                    <w:top w:val="none" w:sz="0" w:space="0" w:color="auto"/>
                    <w:left w:val="none" w:sz="0" w:space="0" w:color="auto"/>
                    <w:bottom w:val="none" w:sz="0" w:space="0" w:color="auto"/>
                    <w:right w:val="none" w:sz="0" w:space="0" w:color="auto"/>
                  </w:divBdr>
                  <w:divsChild>
                    <w:div w:id="517504308">
                      <w:marLeft w:val="0"/>
                      <w:marRight w:val="0"/>
                      <w:marTop w:val="0"/>
                      <w:marBottom w:val="0"/>
                      <w:divBdr>
                        <w:top w:val="none" w:sz="0" w:space="0" w:color="auto"/>
                        <w:left w:val="none" w:sz="0" w:space="0" w:color="auto"/>
                        <w:bottom w:val="none" w:sz="0" w:space="0" w:color="auto"/>
                        <w:right w:val="none" w:sz="0" w:space="0" w:color="auto"/>
                      </w:divBdr>
                    </w:div>
                    <w:div w:id="1945378110">
                      <w:marLeft w:val="0"/>
                      <w:marRight w:val="0"/>
                      <w:marTop w:val="0"/>
                      <w:marBottom w:val="0"/>
                      <w:divBdr>
                        <w:top w:val="none" w:sz="0" w:space="0" w:color="auto"/>
                        <w:left w:val="none" w:sz="0" w:space="0" w:color="auto"/>
                        <w:bottom w:val="none" w:sz="0" w:space="0" w:color="auto"/>
                        <w:right w:val="none" w:sz="0" w:space="0" w:color="auto"/>
                      </w:divBdr>
                    </w:div>
                  </w:divsChild>
                </w:div>
                <w:div w:id="665547578">
                  <w:marLeft w:val="0"/>
                  <w:marRight w:val="0"/>
                  <w:marTop w:val="0"/>
                  <w:marBottom w:val="0"/>
                  <w:divBdr>
                    <w:top w:val="none" w:sz="0" w:space="0" w:color="auto"/>
                    <w:left w:val="none" w:sz="0" w:space="0" w:color="auto"/>
                    <w:bottom w:val="none" w:sz="0" w:space="0" w:color="auto"/>
                    <w:right w:val="none" w:sz="0" w:space="0" w:color="auto"/>
                  </w:divBdr>
                  <w:divsChild>
                    <w:div w:id="82841089">
                      <w:marLeft w:val="0"/>
                      <w:marRight w:val="0"/>
                      <w:marTop w:val="0"/>
                      <w:marBottom w:val="0"/>
                      <w:divBdr>
                        <w:top w:val="none" w:sz="0" w:space="0" w:color="auto"/>
                        <w:left w:val="none" w:sz="0" w:space="0" w:color="auto"/>
                        <w:bottom w:val="none" w:sz="0" w:space="0" w:color="auto"/>
                        <w:right w:val="none" w:sz="0" w:space="0" w:color="auto"/>
                      </w:divBdr>
                    </w:div>
                    <w:div w:id="137423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816853">
          <w:marLeft w:val="0"/>
          <w:marRight w:val="0"/>
          <w:marTop w:val="0"/>
          <w:marBottom w:val="0"/>
          <w:divBdr>
            <w:top w:val="none" w:sz="0" w:space="0" w:color="auto"/>
            <w:left w:val="none" w:sz="0" w:space="0" w:color="auto"/>
            <w:bottom w:val="none" w:sz="0" w:space="0" w:color="auto"/>
            <w:right w:val="none" w:sz="0" w:space="0" w:color="auto"/>
          </w:divBdr>
          <w:divsChild>
            <w:div w:id="1460225610">
              <w:marLeft w:val="0"/>
              <w:marRight w:val="0"/>
              <w:marTop w:val="0"/>
              <w:marBottom w:val="0"/>
              <w:divBdr>
                <w:top w:val="none" w:sz="0" w:space="0" w:color="auto"/>
                <w:left w:val="none" w:sz="0" w:space="0" w:color="auto"/>
                <w:bottom w:val="none" w:sz="0" w:space="0" w:color="auto"/>
                <w:right w:val="none" w:sz="0" w:space="0" w:color="auto"/>
              </w:divBdr>
              <w:divsChild>
                <w:div w:id="1449201343">
                  <w:marLeft w:val="0"/>
                  <w:marRight w:val="0"/>
                  <w:marTop w:val="0"/>
                  <w:marBottom w:val="0"/>
                  <w:divBdr>
                    <w:top w:val="none" w:sz="0" w:space="0" w:color="auto"/>
                    <w:left w:val="none" w:sz="0" w:space="0" w:color="auto"/>
                    <w:bottom w:val="none" w:sz="0" w:space="0" w:color="auto"/>
                    <w:right w:val="none" w:sz="0" w:space="0" w:color="auto"/>
                  </w:divBdr>
                  <w:divsChild>
                    <w:div w:id="517038880">
                      <w:marLeft w:val="0"/>
                      <w:marRight w:val="0"/>
                      <w:marTop w:val="0"/>
                      <w:marBottom w:val="0"/>
                      <w:divBdr>
                        <w:top w:val="none" w:sz="0" w:space="0" w:color="auto"/>
                        <w:left w:val="none" w:sz="0" w:space="0" w:color="auto"/>
                        <w:bottom w:val="none" w:sz="0" w:space="0" w:color="auto"/>
                        <w:right w:val="none" w:sz="0" w:space="0" w:color="auto"/>
                      </w:divBdr>
                    </w:div>
                    <w:div w:id="1956015124">
                      <w:marLeft w:val="0"/>
                      <w:marRight w:val="0"/>
                      <w:marTop w:val="0"/>
                      <w:marBottom w:val="0"/>
                      <w:divBdr>
                        <w:top w:val="none" w:sz="0" w:space="0" w:color="auto"/>
                        <w:left w:val="none" w:sz="0" w:space="0" w:color="auto"/>
                        <w:bottom w:val="none" w:sz="0" w:space="0" w:color="auto"/>
                        <w:right w:val="none" w:sz="0" w:space="0" w:color="auto"/>
                      </w:divBdr>
                    </w:div>
                  </w:divsChild>
                </w:div>
                <w:div w:id="112986502">
                  <w:marLeft w:val="0"/>
                  <w:marRight w:val="0"/>
                  <w:marTop w:val="0"/>
                  <w:marBottom w:val="0"/>
                  <w:divBdr>
                    <w:top w:val="none" w:sz="0" w:space="0" w:color="auto"/>
                    <w:left w:val="none" w:sz="0" w:space="0" w:color="auto"/>
                    <w:bottom w:val="none" w:sz="0" w:space="0" w:color="auto"/>
                    <w:right w:val="none" w:sz="0" w:space="0" w:color="auto"/>
                  </w:divBdr>
                  <w:divsChild>
                    <w:div w:id="86494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085542">
          <w:marLeft w:val="0"/>
          <w:marRight w:val="0"/>
          <w:marTop w:val="0"/>
          <w:marBottom w:val="0"/>
          <w:divBdr>
            <w:top w:val="none" w:sz="0" w:space="0" w:color="auto"/>
            <w:left w:val="none" w:sz="0" w:space="0" w:color="auto"/>
            <w:bottom w:val="none" w:sz="0" w:space="0" w:color="auto"/>
            <w:right w:val="none" w:sz="0" w:space="0" w:color="auto"/>
          </w:divBdr>
          <w:divsChild>
            <w:div w:id="291788185">
              <w:marLeft w:val="0"/>
              <w:marRight w:val="0"/>
              <w:marTop w:val="0"/>
              <w:marBottom w:val="0"/>
              <w:divBdr>
                <w:top w:val="none" w:sz="0" w:space="0" w:color="auto"/>
                <w:left w:val="none" w:sz="0" w:space="0" w:color="auto"/>
                <w:bottom w:val="none" w:sz="0" w:space="0" w:color="auto"/>
                <w:right w:val="none" w:sz="0" w:space="0" w:color="auto"/>
              </w:divBdr>
              <w:divsChild>
                <w:div w:id="1318460274">
                  <w:marLeft w:val="0"/>
                  <w:marRight w:val="0"/>
                  <w:marTop w:val="0"/>
                  <w:marBottom w:val="0"/>
                  <w:divBdr>
                    <w:top w:val="none" w:sz="0" w:space="0" w:color="auto"/>
                    <w:left w:val="none" w:sz="0" w:space="0" w:color="auto"/>
                    <w:bottom w:val="none" w:sz="0" w:space="0" w:color="auto"/>
                    <w:right w:val="none" w:sz="0" w:space="0" w:color="auto"/>
                  </w:divBdr>
                  <w:divsChild>
                    <w:div w:id="905996494">
                      <w:marLeft w:val="0"/>
                      <w:marRight w:val="0"/>
                      <w:marTop w:val="0"/>
                      <w:marBottom w:val="0"/>
                      <w:divBdr>
                        <w:top w:val="none" w:sz="0" w:space="0" w:color="auto"/>
                        <w:left w:val="none" w:sz="0" w:space="0" w:color="auto"/>
                        <w:bottom w:val="none" w:sz="0" w:space="0" w:color="auto"/>
                        <w:right w:val="none" w:sz="0" w:space="0" w:color="auto"/>
                      </w:divBdr>
                    </w:div>
                  </w:divsChild>
                </w:div>
                <w:div w:id="1087844830">
                  <w:marLeft w:val="0"/>
                  <w:marRight w:val="0"/>
                  <w:marTop w:val="0"/>
                  <w:marBottom w:val="0"/>
                  <w:divBdr>
                    <w:top w:val="none" w:sz="0" w:space="0" w:color="auto"/>
                    <w:left w:val="none" w:sz="0" w:space="0" w:color="auto"/>
                    <w:bottom w:val="none" w:sz="0" w:space="0" w:color="auto"/>
                    <w:right w:val="none" w:sz="0" w:space="0" w:color="auto"/>
                  </w:divBdr>
                  <w:divsChild>
                    <w:div w:id="1328022892">
                      <w:marLeft w:val="0"/>
                      <w:marRight w:val="0"/>
                      <w:marTop w:val="0"/>
                      <w:marBottom w:val="0"/>
                      <w:divBdr>
                        <w:top w:val="none" w:sz="0" w:space="0" w:color="auto"/>
                        <w:left w:val="none" w:sz="0" w:space="0" w:color="auto"/>
                        <w:bottom w:val="none" w:sz="0" w:space="0" w:color="auto"/>
                        <w:right w:val="none" w:sz="0" w:space="0" w:color="auto"/>
                      </w:divBdr>
                    </w:div>
                    <w:div w:id="2135169911">
                      <w:marLeft w:val="0"/>
                      <w:marRight w:val="0"/>
                      <w:marTop w:val="0"/>
                      <w:marBottom w:val="0"/>
                      <w:divBdr>
                        <w:top w:val="none" w:sz="0" w:space="0" w:color="auto"/>
                        <w:left w:val="none" w:sz="0" w:space="0" w:color="auto"/>
                        <w:bottom w:val="none" w:sz="0" w:space="0" w:color="auto"/>
                        <w:right w:val="none" w:sz="0" w:space="0" w:color="auto"/>
                      </w:divBdr>
                    </w:div>
                  </w:divsChild>
                </w:div>
                <w:div w:id="1041708320">
                  <w:marLeft w:val="0"/>
                  <w:marRight w:val="0"/>
                  <w:marTop w:val="0"/>
                  <w:marBottom w:val="0"/>
                  <w:divBdr>
                    <w:top w:val="none" w:sz="0" w:space="0" w:color="auto"/>
                    <w:left w:val="none" w:sz="0" w:space="0" w:color="auto"/>
                    <w:bottom w:val="none" w:sz="0" w:space="0" w:color="auto"/>
                    <w:right w:val="none" w:sz="0" w:space="0" w:color="auto"/>
                  </w:divBdr>
                  <w:divsChild>
                    <w:div w:id="78789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903621">
          <w:marLeft w:val="0"/>
          <w:marRight w:val="0"/>
          <w:marTop w:val="0"/>
          <w:marBottom w:val="0"/>
          <w:divBdr>
            <w:top w:val="none" w:sz="0" w:space="0" w:color="auto"/>
            <w:left w:val="none" w:sz="0" w:space="0" w:color="auto"/>
            <w:bottom w:val="none" w:sz="0" w:space="0" w:color="auto"/>
            <w:right w:val="none" w:sz="0" w:space="0" w:color="auto"/>
          </w:divBdr>
          <w:divsChild>
            <w:div w:id="44909466">
              <w:marLeft w:val="0"/>
              <w:marRight w:val="0"/>
              <w:marTop w:val="0"/>
              <w:marBottom w:val="0"/>
              <w:divBdr>
                <w:top w:val="none" w:sz="0" w:space="0" w:color="auto"/>
                <w:left w:val="none" w:sz="0" w:space="0" w:color="auto"/>
                <w:bottom w:val="none" w:sz="0" w:space="0" w:color="auto"/>
                <w:right w:val="none" w:sz="0" w:space="0" w:color="auto"/>
              </w:divBdr>
              <w:divsChild>
                <w:div w:id="1368142768">
                  <w:marLeft w:val="0"/>
                  <w:marRight w:val="0"/>
                  <w:marTop w:val="0"/>
                  <w:marBottom w:val="0"/>
                  <w:divBdr>
                    <w:top w:val="none" w:sz="0" w:space="0" w:color="auto"/>
                    <w:left w:val="none" w:sz="0" w:space="0" w:color="auto"/>
                    <w:bottom w:val="none" w:sz="0" w:space="0" w:color="auto"/>
                    <w:right w:val="none" w:sz="0" w:space="0" w:color="auto"/>
                  </w:divBdr>
                  <w:divsChild>
                    <w:div w:id="191652376">
                      <w:marLeft w:val="0"/>
                      <w:marRight w:val="0"/>
                      <w:marTop w:val="0"/>
                      <w:marBottom w:val="0"/>
                      <w:divBdr>
                        <w:top w:val="none" w:sz="0" w:space="0" w:color="auto"/>
                        <w:left w:val="none" w:sz="0" w:space="0" w:color="auto"/>
                        <w:bottom w:val="none" w:sz="0" w:space="0" w:color="auto"/>
                        <w:right w:val="none" w:sz="0" w:space="0" w:color="auto"/>
                      </w:divBdr>
                    </w:div>
                  </w:divsChild>
                </w:div>
                <w:div w:id="766386412">
                  <w:marLeft w:val="0"/>
                  <w:marRight w:val="0"/>
                  <w:marTop w:val="0"/>
                  <w:marBottom w:val="0"/>
                  <w:divBdr>
                    <w:top w:val="none" w:sz="0" w:space="0" w:color="auto"/>
                    <w:left w:val="none" w:sz="0" w:space="0" w:color="auto"/>
                    <w:bottom w:val="none" w:sz="0" w:space="0" w:color="auto"/>
                    <w:right w:val="none" w:sz="0" w:space="0" w:color="auto"/>
                  </w:divBdr>
                  <w:divsChild>
                    <w:div w:id="117603505">
                      <w:marLeft w:val="0"/>
                      <w:marRight w:val="0"/>
                      <w:marTop w:val="0"/>
                      <w:marBottom w:val="0"/>
                      <w:divBdr>
                        <w:top w:val="none" w:sz="0" w:space="0" w:color="auto"/>
                        <w:left w:val="none" w:sz="0" w:space="0" w:color="auto"/>
                        <w:bottom w:val="none" w:sz="0" w:space="0" w:color="auto"/>
                        <w:right w:val="none" w:sz="0" w:space="0" w:color="auto"/>
                      </w:divBdr>
                    </w:div>
                    <w:div w:id="125176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945308">
          <w:marLeft w:val="0"/>
          <w:marRight w:val="0"/>
          <w:marTop w:val="0"/>
          <w:marBottom w:val="0"/>
          <w:divBdr>
            <w:top w:val="none" w:sz="0" w:space="0" w:color="auto"/>
            <w:left w:val="none" w:sz="0" w:space="0" w:color="auto"/>
            <w:bottom w:val="none" w:sz="0" w:space="0" w:color="auto"/>
            <w:right w:val="none" w:sz="0" w:space="0" w:color="auto"/>
          </w:divBdr>
          <w:divsChild>
            <w:div w:id="1598714815">
              <w:marLeft w:val="0"/>
              <w:marRight w:val="0"/>
              <w:marTop w:val="0"/>
              <w:marBottom w:val="0"/>
              <w:divBdr>
                <w:top w:val="none" w:sz="0" w:space="0" w:color="auto"/>
                <w:left w:val="none" w:sz="0" w:space="0" w:color="auto"/>
                <w:bottom w:val="none" w:sz="0" w:space="0" w:color="auto"/>
                <w:right w:val="none" w:sz="0" w:space="0" w:color="auto"/>
              </w:divBdr>
              <w:divsChild>
                <w:div w:id="1319967522">
                  <w:marLeft w:val="0"/>
                  <w:marRight w:val="0"/>
                  <w:marTop w:val="0"/>
                  <w:marBottom w:val="0"/>
                  <w:divBdr>
                    <w:top w:val="none" w:sz="0" w:space="0" w:color="auto"/>
                    <w:left w:val="none" w:sz="0" w:space="0" w:color="auto"/>
                    <w:bottom w:val="none" w:sz="0" w:space="0" w:color="auto"/>
                    <w:right w:val="none" w:sz="0" w:space="0" w:color="auto"/>
                  </w:divBdr>
                  <w:divsChild>
                    <w:div w:id="697388784">
                      <w:marLeft w:val="0"/>
                      <w:marRight w:val="0"/>
                      <w:marTop w:val="0"/>
                      <w:marBottom w:val="0"/>
                      <w:divBdr>
                        <w:top w:val="none" w:sz="0" w:space="0" w:color="auto"/>
                        <w:left w:val="none" w:sz="0" w:space="0" w:color="auto"/>
                        <w:bottom w:val="none" w:sz="0" w:space="0" w:color="auto"/>
                        <w:right w:val="none" w:sz="0" w:space="0" w:color="auto"/>
                      </w:divBdr>
                    </w:div>
                    <w:div w:id="1863201417">
                      <w:marLeft w:val="0"/>
                      <w:marRight w:val="0"/>
                      <w:marTop w:val="0"/>
                      <w:marBottom w:val="0"/>
                      <w:divBdr>
                        <w:top w:val="none" w:sz="0" w:space="0" w:color="auto"/>
                        <w:left w:val="none" w:sz="0" w:space="0" w:color="auto"/>
                        <w:bottom w:val="none" w:sz="0" w:space="0" w:color="auto"/>
                        <w:right w:val="none" w:sz="0" w:space="0" w:color="auto"/>
                      </w:divBdr>
                    </w:div>
                  </w:divsChild>
                </w:div>
                <w:div w:id="1266769863">
                  <w:marLeft w:val="0"/>
                  <w:marRight w:val="0"/>
                  <w:marTop w:val="0"/>
                  <w:marBottom w:val="0"/>
                  <w:divBdr>
                    <w:top w:val="none" w:sz="0" w:space="0" w:color="auto"/>
                    <w:left w:val="none" w:sz="0" w:space="0" w:color="auto"/>
                    <w:bottom w:val="none" w:sz="0" w:space="0" w:color="auto"/>
                    <w:right w:val="none" w:sz="0" w:space="0" w:color="auto"/>
                  </w:divBdr>
                  <w:divsChild>
                    <w:div w:id="46804557">
                      <w:marLeft w:val="0"/>
                      <w:marRight w:val="0"/>
                      <w:marTop w:val="0"/>
                      <w:marBottom w:val="0"/>
                      <w:divBdr>
                        <w:top w:val="none" w:sz="0" w:space="0" w:color="auto"/>
                        <w:left w:val="none" w:sz="0" w:space="0" w:color="auto"/>
                        <w:bottom w:val="none" w:sz="0" w:space="0" w:color="auto"/>
                        <w:right w:val="none" w:sz="0" w:space="0" w:color="auto"/>
                      </w:divBdr>
                    </w:div>
                  </w:divsChild>
                </w:div>
                <w:div w:id="1841846260">
                  <w:marLeft w:val="0"/>
                  <w:marRight w:val="0"/>
                  <w:marTop w:val="0"/>
                  <w:marBottom w:val="0"/>
                  <w:divBdr>
                    <w:top w:val="none" w:sz="0" w:space="0" w:color="auto"/>
                    <w:left w:val="none" w:sz="0" w:space="0" w:color="auto"/>
                    <w:bottom w:val="none" w:sz="0" w:space="0" w:color="auto"/>
                    <w:right w:val="none" w:sz="0" w:space="0" w:color="auto"/>
                  </w:divBdr>
                  <w:divsChild>
                    <w:div w:id="213170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134361">
          <w:marLeft w:val="0"/>
          <w:marRight w:val="0"/>
          <w:marTop w:val="0"/>
          <w:marBottom w:val="0"/>
          <w:divBdr>
            <w:top w:val="none" w:sz="0" w:space="0" w:color="auto"/>
            <w:left w:val="none" w:sz="0" w:space="0" w:color="auto"/>
            <w:bottom w:val="none" w:sz="0" w:space="0" w:color="auto"/>
            <w:right w:val="none" w:sz="0" w:space="0" w:color="auto"/>
          </w:divBdr>
          <w:divsChild>
            <w:div w:id="239870117">
              <w:marLeft w:val="0"/>
              <w:marRight w:val="0"/>
              <w:marTop w:val="0"/>
              <w:marBottom w:val="0"/>
              <w:divBdr>
                <w:top w:val="none" w:sz="0" w:space="0" w:color="auto"/>
                <w:left w:val="none" w:sz="0" w:space="0" w:color="auto"/>
                <w:bottom w:val="none" w:sz="0" w:space="0" w:color="auto"/>
                <w:right w:val="none" w:sz="0" w:space="0" w:color="auto"/>
              </w:divBdr>
              <w:divsChild>
                <w:div w:id="1124419995">
                  <w:marLeft w:val="0"/>
                  <w:marRight w:val="0"/>
                  <w:marTop w:val="0"/>
                  <w:marBottom w:val="0"/>
                  <w:divBdr>
                    <w:top w:val="none" w:sz="0" w:space="0" w:color="auto"/>
                    <w:left w:val="none" w:sz="0" w:space="0" w:color="auto"/>
                    <w:bottom w:val="none" w:sz="0" w:space="0" w:color="auto"/>
                    <w:right w:val="none" w:sz="0" w:space="0" w:color="auto"/>
                  </w:divBdr>
                  <w:divsChild>
                    <w:div w:id="1731464101">
                      <w:marLeft w:val="0"/>
                      <w:marRight w:val="0"/>
                      <w:marTop w:val="0"/>
                      <w:marBottom w:val="0"/>
                      <w:divBdr>
                        <w:top w:val="none" w:sz="0" w:space="0" w:color="auto"/>
                        <w:left w:val="none" w:sz="0" w:space="0" w:color="auto"/>
                        <w:bottom w:val="none" w:sz="0" w:space="0" w:color="auto"/>
                        <w:right w:val="none" w:sz="0" w:space="0" w:color="auto"/>
                      </w:divBdr>
                    </w:div>
                  </w:divsChild>
                </w:div>
                <w:div w:id="1019117214">
                  <w:marLeft w:val="0"/>
                  <w:marRight w:val="0"/>
                  <w:marTop w:val="0"/>
                  <w:marBottom w:val="0"/>
                  <w:divBdr>
                    <w:top w:val="none" w:sz="0" w:space="0" w:color="auto"/>
                    <w:left w:val="none" w:sz="0" w:space="0" w:color="auto"/>
                    <w:bottom w:val="none" w:sz="0" w:space="0" w:color="auto"/>
                    <w:right w:val="none" w:sz="0" w:space="0" w:color="auto"/>
                  </w:divBdr>
                  <w:divsChild>
                    <w:div w:id="1592884388">
                      <w:marLeft w:val="0"/>
                      <w:marRight w:val="0"/>
                      <w:marTop w:val="0"/>
                      <w:marBottom w:val="0"/>
                      <w:divBdr>
                        <w:top w:val="none" w:sz="0" w:space="0" w:color="auto"/>
                        <w:left w:val="none" w:sz="0" w:space="0" w:color="auto"/>
                        <w:bottom w:val="none" w:sz="0" w:space="0" w:color="auto"/>
                        <w:right w:val="none" w:sz="0" w:space="0" w:color="auto"/>
                      </w:divBdr>
                    </w:div>
                    <w:div w:id="133360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964618">
          <w:marLeft w:val="0"/>
          <w:marRight w:val="0"/>
          <w:marTop w:val="0"/>
          <w:marBottom w:val="0"/>
          <w:divBdr>
            <w:top w:val="none" w:sz="0" w:space="0" w:color="auto"/>
            <w:left w:val="none" w:sz="0" w:space="0" w:color="auto"/>
            <w:bottom w:val="none" w:sz="0" w:space="0" w:color="auto"/>
            <w:right w:val="none" w:sz="0" w:space="0" w:color="auto"/>
          </w:divBdr>
          <w:divsChild>
            <w:div w:id="771509451">
              <w:marLeft w:val="0"/>
              <w:marRight w:val="0"/>
              <w:marTop w:val="0"/>
              <w:marBottom w:val="0"/>
              <w:divBdr>
                <w:top w:val="none" w:sz="0" w:space="0" w:color="auto"/>
                <w:left w:val="none" w:sz="0" w:space="0" w:color="auto"/>
                <w:bottom w:val="none" w:sz="0" w:space="0" w:color="auto"/>
                <w:right w:val="none" w:sz="0" w:space="0" w:color="auto"/>
              </w:divBdr>
              <w:divsChild>
                <w:div w:id="1675299273">
                  <w:marLeft w:val="0"/>
                  <w:marRight w:val="0"/>
                  <w:marTop w:val="0"/>
                  <w:marBottom w:val="0"/>
                  <w:divBdr>
                    <w:top w:val="none" w:sz="0" w:space="0" w:color="auto"/>
                    <w:left w:val="none" w:sz="0" w:space="0" w:color="auto"/>
                    <w:bottom w:val="none" w:sz="0" w:space="0" w:color="auto"/>
                    <w:right w:val="none" w:sz="0" w:space="0" w:color="auto"/>
                  </w:divBdr>
                  <w:divsChild>
                    <w:div w:id="1057509301">
                      <w:marLeft w:val="0"/>
                      <w:marRight w:val="0"/>
                      <w:marTop w:val="0"/>
                      <w:marBottom w:val="0"/>
                      <w:divBdr>
                        <w:top w:val="none" w:sz="0" w:space="0" w:color="auto"/>
                        <w:left w:val="none" w:sz="0" w:space="0" w:color="auto"/>
                        <w:bottom w:val="none" w:sz="0" w:space="0" w:color="auto"/>
                        <w:right w:val="none" w:sz="0" w:space="0" w:color="auto"/>
                      </w:divBdr>
                    </w:div>
                    <w:div w:id="1759402383">
                      <w:marLeft w:val="0"/>
                      <w:marRight w:val="0"/>
                      <w:marTop w:val="0"/>
                      <w:marBottom w:val="0"/>
                      <w:divBdr>
                        <w:top w:val="none" w:sz="0" w:space="0" w:color="auto"/>
                        <w:left w:val="none" w:sz="0" w:space="0" w:color="auto"/>
                        <w:bottom w:val="none" w:sz="0" w:space="0" w:color="auto"/>
                        <w:right w:val="none" w:sz="0" w:space="0" w:color="auto"/>
                      </w:divBdr>
                    </w:div>
                  </w:divsChild>
                </w:div>
                <w:div w:id="2034650032">
                  <w:marLeft w:val="0"/>
                  <w:marRight w:val="0"/>
                  <w:marTop w:val="0"/>
                  <w:marBottom w:val="0"/>
                  <w:divBdr>
                    <w:top w:val="none" w:sz="0" w:space="0" w:color="auto"/>
                    <w:left w:val="none" w:sz="0" w:space="0" w:color="auto"/>
                    <w:bottom w:val="none" w:sz="0" w:space="0" w:color="auto"/>
                    <w:right w:val="none" w:sz="0" w:space="0" w:color="auto"/>
                  </w:divBdr>
                  <w:divsChild>
                    <w:div w:id="181221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516968">
          <w:marLeft w:val="0"/>
          <w:marRight w:val="0"/>
          <w:marTop w:val="0"/>
          <w:marBottom w:val="0"/>
          <w:divBdr>
            <w:top w:val="none" w:sz="0" w:space="0" w:color="auto"/>
            <w:left w:val="none" w:sz="0" w:space="0" w:color="auto"/>
            <w:bottom w:val="none" w:sz="0" w:space="0" w:color="auto"/>
            <w:right w:val="none" w:sz="0" w:space="0" w:color="auto"/>
          </w:divBdr>
          <w:divsChild>
            <w:div w:id="2123180469">
              <w:marLeft w:val="0"/>
              <w:marRight w:val="0"/>
              <w:marTop w:val="0"/>
              <w:marBottom w:val="0"/>
              <w:divBdr>
                <w:top w:val="none" w:sz="0" w:space="0" w:color="auto"/>
                <w:left w:val="none" w:sz="0" w:space="0" w:color="auto"/>
                <w:bottom w:val="none" w:sz="0" w:space="0" w:color="auto"/>
                <w:right w:val="none" w:sz="0" w:space="0" w:color="auto"/>
              </w:divBdr>
              <w:divsChild>
                <w:div w:id="508835001">
                  <w:marLeft w:val="0"/>
                  <w:marRight w:val="0"/>
                  <w:marTop w:val="0"/>
                  <w:marBottom w:val="0"/>
                  <w:divBdr>
                    <w:top w:val="none" w:sz="0" w:space="0" w:color="auto"/>
                    <w:left w:val="none" w:sz="0" w:space="0" w:color="auto"/>
                    <w:bottom w:val="none" w:sz="0" w:space="0" w:color="auto"/>
                    <w:right w:val="none" w:sz="0" w:space="0" w:color="auto"/>
                  </w:divBdr>
                  <w:divsChild>
                    <w:div w:id="610816540">
                      <w:marLeft w:val="0"/>
                      <w:marRight w:val="0"/>
                      <w:marTop w:val="0"/>
                      <w:marBottom w:val="0"/>
                      <w:divBdr>
                        <w:top w:val="none" w:sz="0" w:space="0" w:color="auto"/>
                        <w:left w:val="none" w:sz="0" w:space="0" w:color="auto"/>
                        <w:bottom w:val="none" w:sz="0" w:space="0" w:color="auto"/>
                        <w:right w:val="none" w:sz="0" w:space="0" w:color="auto"/>
                      </w:divBdr>
                    </w:div>
                  </w:divsChild>
                </w:div>
                <w:div w:id="13918735">
                  <w:marLeft w:val="0"/>
                  <w:marRight w:val="0"/>
                  <w:marTop w:val="0"/>
                  <w:marBottom w:val="0"/>
                  <w:divBdr>
                    <w:top w:val="none" w:sz="0" w:space="0" w:color="auto"/>
                    <w:left w:val="none" w:sz="0" w:space="0" w:color="auto"/>
                    <w:bottom w:val="none" w:sz="0" w:space="0" w:color="auto"/>
                    <w:right w:val="none" w:sz="0" w:space="0" w:color="auto"/>
                  </w:divBdr>
                  <w:divsChild>
                    <w:div w:id="921717706">
                      <w:marLeft w:val="0"/>
                      <w:marRight w:val="0"/>
                      <w:marTop w:val="0"/>
                      <w:marBottom w:val="0"/>
                      <w:divBdr>
                        <w:top w:val="none" w:sz="0" w:space="0" w:color="auto"/>
                        <w:left w:val="none" w:sz="0" w:space="0" w:color="auto"/>
                        <w:bottom w:val="none" w:sz="0" w:space="0" w:color="auto"/>
                        <w:right w:val="none" w:sz="0" w:space="0" w:color="auto"/>
                      </w:divBdr>
                    </w:div>
                    <w:div w:id="3727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481361">
          <w:marLeft w:val="0"/>
          <w:marRight w:val="0"/>
          <w:marTop w:val="0"/>
          <w:marBottom w:val="0"/>
          <w:divBdr>
            <w:top w:val="none" w:sz="0" w:space="0" w:color="auto"/>
            <w:left w:val="none" w:sz="0" w:space="0" w:color="auto"/>
            <w:bottom w:val="none" w:sz="0" w:space="0" w:color="auto"/>
            <w:right w:val="none" w:sz="0" w:space="0" w:color="auto"/>
          </w:divBdr>
          <w:divsChild>
            <w:div w:id="332148992">
              <w:marLeft w:val="0"/>
              <w:marRight w:val="0"/>
              <w:marTop w:val="0"/>
              <w:marBottom w:val="0"/>
              <w:divBdr>
                <w:top w:val="none" w:sz="0" w:space="0" w:color="auto"/>
                <w:left w:val="none" w:sz="0" w:space="0" w:color="auto"/>
                <w:bottom w:val="none" w:sz="0" w:space="0" w:color="auto"/>
                <w:right w:val="none" w:sz="0" w:space="0" w:color="auto"/>
              </w:divBdr>
              <w:divsChild>
                <w:div w:id="481972931">
                  <w:marLeft w:val="0"/>
                  <w:marRight w:val="0"/>
                  <w:marTop w:val="0"/>
                  <w:marBottom w:val="0"/>
                  <w:divBdr>
                    <w:top w:val="none" w:sz="0" w:space="0" w:color="auto"/>
                    <w:left w:val="none" w:sz="0" w:space="0" w:color="auto"/>
                    <w:bottom w:val="none" w:sz="0" w:space="0" w:color="auto"/>
                    <w:right w:val="none" w:sz="0" w:space="0" w:color="auto"/>
                  </w:divBdr>
                  <w:divsChild>
                    <w:div w:id="249849502">
                      <w:marLeft w:val="0"/>
                      <w:marRight w:val="0"/>
                      <w:marTop w:val="0"/>
                      <w:marBottom w:val="0"/>
                      <w:divBdr>
                        <w:top w:val="none" w:sz="0" w:space="0" w:color="auto"/>
                        <w:left w:val="none" w:sz="0" w:space="0" w:color="auto"/>
                        <w:bottom w:val="none" w:sz="0" w:space="0" w:color="auto"/>
                        <w:right w:val="none" w:sz="0" w:space="0" w:color="auto"/>
                      </w:divBdr>
                    </w:div>
                    <w:div w:id="1729693544">
                      <w:marLeft w:val="0"/>
                      <w:marRight w:val="0"/>
                      <w:marTop w:val="0"/>
                      <w:marBottom w:val="0"/>
                      <w:divBdr>
                        <w:top w:val="none" w:sz="0" w:space="0" w:color="auto"/>
                        <w:left w:val="none" w:sz="0" w:space="0" w:color="auto"/>
                        <w:bottom w:val="none" w:sz="0" w:space="0" w:color="auto"/>
                        <w:right w:val="none" w:sz="0" w:space="0" w:color="auto"/>
                      </w:divBdr>
                    </w:div>
                  </w:divsChild>
                </w:div>
                <w:div w:id="279730583">
                  <w:marLeft w:val="0"/>
                  <w:marRight w:val="0"/>
                  <w:marTop w:val="0"/>
                  <w:marBottom w:val="0"/>
                  <w:divBdr>
                    <w:top w:val="none" w:sz="0" w:space="0" w:color="auto"/>
                    <w:left w:val="none" w:sz="0" w:space="0" w:color="auto"/>
                    <w:bottom w:val="none" w:sz="0" w:space="0" w:color="auto"/>
                    <w:right w:val="none" w:sz="0" w:space="0" w:color="auto"/>
                  </w:divBdr>
                  <w:divsChild>
                    <w:div w:id="64797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974261">
          <w:marLeft w:val="0"/>
          <w:marRight w:val="0"/>
          <w:marTop w:val="0"/>
          <w:marBottom w:val="0"/>
          <w:divBdr>
            <w:top w:val="none" w:sz="0" w:space="0" w:color="auto"/>
            <w:left w:val="none" w:sz="0" w:space="0" w:color="auto"/>
            <w:bottom w:val="none" w:sz="0" w:space="0" w:color="auto"/>
            <w:right w:val="none" w:sz="0" w:space="0" w:color="auto"/>
          </w:divBdr>
          <w:divsChild>
            <w:div w:id="1643920460">
              <w:marLeft w:val="0"/>
              <w:marRight w:val="0"/>
              <w:marTop w:val="0"/>
              <w:marBottom w:val="0"/>
              <w:divBdr>
                <w:top w:val="none" w:sz="0" w:space="0" w:color="auto"/>
                <w:left w:val="none" w:sz="0" w:space="0" w:color="auto"/>
                <w:bottom w:val="none" w:sz="0" w:space="0" w:color="auto"/>
                <w:right w:val="none" w:sz="0" w:space="0" w:color="auto"/>
              </w:divBdr>
              <w:divsChild>
                <w:div w:id="182714674">
                  <w:marLeft w:val="0"/>
                  <w:marRight w:val="0"/>
                  <w:marTop w:val="0"/>
                  <w:marBottom w:val="0"/>
                  <w:divBdr>
                    <w:top w:val="none" w:sz="0" w:space="0" w:color="auto"/>
                    <w:left w:val="none" w:sz="0" w:space="0" w:color="auto"/>
                    <w:bottom w:val="none" w:sz="0" w:space="0" w:color="auto"/>
                    <w:right w:val="none" w:sz="0" w:space="0" w:color="auto"/>
                  </w:divBdr>
                  <w:divsChild>
                    <w:div w:id="1688167668">
                      <w:marLeft w:val="0"/>
                      <w:marRight w:val="0"/>
                      <w:marTop w:val="0"/>
                      <w:marBottom w:val="0"/>
                      <w:divBdr>
                        <w:top w:val="none" w:sz="0" w:space="0" w:color="auto"/>
                        <w:left w:val="none" w:sz="0" w:space="0" w:color="auto"/>
                        <w:bottom w:val="none" w:sz="0" w:space="0" w:color="auto"/>
                        <w:right w:val="none" w:sz="0" w:space="0" w:color="auto"/>
                      </w:divBdr>
                    </w:div>
                  </w:divsChild>
                </w:div>
                <w:div w:id="297489350">
                  <w:marLeft w:val="0"/>
                  <w:marRight w:val="0"/>
                  <w:marTop w:val="0"/>
                  <w:marBottom w:val="0"/>
                  <w:divBdr>
                    <w:top w:val="none" w:sz="0" w:space="0" w:color="auto"/>
                    <w:left w:val="none" w:sz="0" w:space="0" w:color="auto"/>
                    <w:bottom w:val="none" w:sz="0" w:space="0" w:color="auto"/>
                    <w:right w:val="none" w:sz="0" w:space="0" w:color="auto"/>
                  </w:divBdr>
                  <w:divsChild>
                    <w:div w:id="1585652974">
                      <w:marLeft w:val="0"/>
                      <w:marRight w:val="0"/>
                      <w:marTop w:val="0"/>
                      <w:marBottom w:val="0"/>
                      <w:divBdr>
                        <w:top w:val="none" w:sz="0" w:space="0" w:color="auto"/>
                        <w:left w:val="none" w:sz="0" w:space="0" w:color="auto"/>
                        <w:bottom w:val="none" w:sz="0" w:space="0" w:color="auto"/>
                        <w:right w:val="none" w:sz="0" w:space="0" w:color="auto"/>
                      </w:divBdr>
                    </w:div>
                    <w:div w:id="148015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071943">
          <w:marLeft w:val="0"/>
          <w:marRight w:val="0"/>
          <w:marTop w:val="0"/>
          <w:marBottom w:val="0"/>
          <w:divBdr>
            <w:top w:val="none" w:sz="0" w:space="0" w:color="auto"/>
            <w:left w:val="none" w:sz="0" w:space="0" w:color="auto"/>
            <w:bottom w:val="none" w:sz="0" w:space="0" w:color="auto"/>
            <w:right w:val="none" w:sz="0" w:space="0" w:color="auto"/>
          </w:divBdr>
          <w:divsChild>
            <w:div w:id="1880312189">
              <w:marLeft w:val="0"/>
              <w:marRight w:val="0"/>
              <w:marTop w:val="0"/>
              <w:marBottom w:val="0"/>
              <w:divBdr>
                <w:top w:val="none" w:sz="0" w:space="0" w:color="auto"/>
                <w:left w:val="none" w:sz="0" w:space="0" w:color="auto"/>
                <w:bottom w:val="none" w:sz="0" w:space="0" w:color="auto"/>
                <w:right w:val="none" w:sz="0" w:space="0" w:color="auto"/>
              </w:divBdr>
              <w:divsChild>
                <w:div w:id="1449163484">
                  <w:marLeft w:val="0"/>
                  <w:marRight w:val="0"/>
                  <w:marTop w:val="0"/>
                  <w:marBottom w:val="0"/>
                  <w:divBdr>
                    <w:top w:val="none" w:sz="0" w:space="0" w:color="auto"/>
                    <w:left w:val="none" w:sz="0" w:space="0" w:color="auto"/>
                    <w:bottom w:val="none" w:sz="0" w:space="0" w:color="auto"/>
                    <w:right w:val="none" w:sz="0" w:space="0" w:color="auto"/>
                  </w:divBdr>
                  <w:divsChild>
                    <w:div w:id="221523866">
                      <w:marLeft w:val="0"/>
                      <w:marRight w:val="0"/>
                      <w:marTop w:val="0"/>
                      <w:marBottom w:val="0"/>
                      <w:divBdr>
                        <w:top w:val="none" w:sz="0" w:space="0" w:color="auto"/>
                        <w:left w:val="none" w:sz="0" w:space="0" w:color="auto"/>
                        <w:bottom w:val="none" w:sz="0" w:space="0" w:color="auto"/>
                        <w:right w:val="none" w:sz="0" w:space="0" w:color="auto"/>
                      </w:divBdr>
                    </w:div>
                    <w:div w:id="1233587240">
                      <w:marLeft w:val="0"/>
                      <w:marRight w:val="0"/>
                      <w:marTop w:val="0"/>
                      <w:marBottom w:val="0"/>
                      <w:divBdr>
                        <w:top w:val="none" w:sz="0" w:space="0" w:color="auto"/>
                        <w:left w:val="none" w:sz="0" w:space="0" w:color="auto"/>
                        <w:bottom w:val="none" w:sz="0" w:space="0" w:color="auto"/>
                        <w:right w:val="none" w:sz="0" w:space="0" w:color="auto"/>
                      </w:divBdr>
                    </w:div>
                  </w:divsChild>
                </w:div>
                <w:div w:id="1245843103">
                  <w:marLeft w:val="0"/>
                  <w:marRight w:val="0"/>
                  <w:marTop w:val="0"/>
                  <w:marBottom w:val="0"/>
                  <w:divBdr>
                    <w:top w:val="none" w:sz="0" w:space="0" w:color="auto"/>
                    <w:left w:val="none" w:sz="0" w:space="0" w:color="auto"/>
                    <w:bottom w:val="none" w:sz="0" w:space="0" w:color="auto"/>
                    <w:right w:val="none" w:sz="0" w:space="0" w:color="auto"/>
                  </w:divBdr>
                  <w:divsChild>
                    <w:div w:id="169915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62841">
          <w:marLeft w:val="0"/>
          <w:marRight w:val="0"/>
          <w:marTop w:val="0"/>
          <w:marBottom w:val="0"/>
          <w:divBdr>
            <w:top w:val="none" w:sz="0" w:space="0" w:color="auto"/>
            <w:left w:val="none" w:sz="0" w:space="0" w:color="auto"/>
            <w:bottom w:val="none" w:sz="0" w:space="0" w:color="auto"/>
            <w:right w:val="none" w:sz="0" w:space="0" w:color="auto"/>
          </w:divBdr>
          <w:divsChild>
            <w:div w:id="1653365062">
              <w:marLeft w:val="0"/>
              <w:marRight w:val="0"/>
              <w:marTop w:val="0"/>
              <w:marBottom w:val="0"/>
              <w:divBdr>
                <w:top w:val="none" w:sz="0" w:space="0" w:color="auto"/>
                <w:left w:val="none" w:sz="0" w:space="0" w:color="auto"/>
                <w:bottom w:val="none" w:sz="0" w:space="0" w:color="auto"/>
                <w:right w:val="none" w:sz="0" w:space="0" w:color="auto"/>
              </w:divBdr>
              <w:divsChild>
                <w:div w:id="1606420456">
                  <w:marLeft w:val="0"/>
                  <w:marRight w:val="0"/>
                  <w:marTop w:val="0"/>
                  <w:marBottom w:val="0"/>
                  <w:divBdr>
                    <w:top w:val="none" w:sz="0" w:space="0" w:color="auto"/>
                    <w:left w:val="none" w:sz="0" w:space="0" w:color="auto"/>
                    <w:bottom w:val="none" w:sz="0" w:space="0" w:color="auto"/>
                    <w:right w:val="none" w:sz="0" w:space="0" w:color="auto"/>
                  </w:divBdr>
                  <w:divsChild>
                    <w:div w:id="1238631997">
                      <w:marLeft w:val="0"/>
                      <w:marRight w:val="0"/>
                      <w:marTop w:val="0"/>
                      <w:marBottom w:val="0"/>
                      <w:divBdr>
                        <w:top w:val="none" w:sz="0" w:space="0" w:color="auto"/>
                        <w:left w:val="none" w:sz="0" w:space="0" w:color="auto"/>
                        <w:bottom w:val="none" w:sz="0" w:space="0" w:color="auto"/>
                        <w:right w:val="none" w:sz="0" w:space="0" w:color="auto"/>
                      </w:divBdr>
                    </w:div>
                  </w:divsChild>
                </w:div>
                <w:div w:id="1612281082">
                  <w:marLeft w:val="0"/>
                  <w:marRight w:val="0"/>
                  <w:marTop w:val="0"/>
                  <w:marBottom w:val="0"/>
                  <w:divBdr>
                    <w:top w:val="none" w:sz="0" w:space="0" w:color="auto"/>
                    <w:left w:val="none" w:sz="0" w:space="0" w:color="auto"/>
                    <w:bottom w:val="none" w:sz="0" w:space="0" w:color="auto"/>
                    <w:right w:val="none" w:sz="0" w:space="0" w:color="auto"/>
                  </w:divBdr>
                  <w:divsChild>
                    <w:div w:id="1634826125">
                      <w:marLeft w:val="0"/>
                      <w:marRight w:val="0"/>
                      <w:marTop w:val="0"/>
                      <w:marBottom w:val="0"/>
                      <w:divBdr>
                        <w:top w:val="none" w:sz="0" w:space="0" w:color="auto"/>
                        <w:left w:val="none" w:sz="0" w:space="0" w:color="auto"/>
                        <w:bottom w:val="none" w:sz="0" w:space="0" w:color="auto"/>
                        <w:right w:val="none" w:sz="0" w:space="0" w:color="auto"/>
                      </w:divBdr>
                    </w:div>
                    <w:div w:id="206528961">
                      <w:marLeft w:val="0"/>
                      <w:marRight w:val="0"/>
                      <w:marTop w:val="0"/>
                      <w:marBottom w:val="0"/>
                      <w:divBdr>
                        <w:top w:val="none" w:sz="0" w:space="0" w:color="auto"/>
                        <w:left w:val="none" w:sz="0" w:space="0" w:color="auto"/>
                        <w:bottom w:val="none" w:sz="0" w:space="0" w:color="auto"/>
                        <w:right w:val="none" w:sz="0" w:space="0" w:color="auto"/>
                      </w:divBdr>
                    </w:div>
                  </w:divsChild>
                </w:div>
                <w:div w:id="818620299">
                  <w:marLeft w:val="0"/>
                  <w:marRight w:val="0"/>
                  <w:marTop w:val="0"/>
                  <w:marBottom w:val="0"/>
                  <w:divBdr>
                    <w:top w:val="none" w:sz="0" w:space="0" w:color="auto"/>
                    <w:left w:val="none" w:sz="0" w:space="0" w:color="auto"/>
                    <w:bottom w:val="none" w:sz="0" w:space="0" w:color="auto"/>
                    <w:right w:val="none" w:sz="0" w:space="0" w:color="auto"/>
                  </w:divBdr>
                  <w:divsChild>
                    <w:div w:id="902448835">
                      <w:marLeft w:val="0"/>
                      <w:marRight w:val="0"/>
                      <w:marTop w:val="0"/>
                      <w:marBottom w:val="0"/>
                      <w:divBdr>
                        <w:top w:val="none" w:sz="0" w:space="0" w:color="auto"/>
                        <w:left w:val="none" w:sz="0" w:space="0" w:color="auto"/>
                        <w:bottom w:val="none" w:sz="0" w:space="0" w:color="auto"/>
                        <w:right w:val="none" w:sz="0" w:space="0" w:color="auto"/>
                      </w:divBdr>
                    </w:div>
                  </w:divsChild>
                </w:div>
                <w:div w:id="1319845444">
                  <w:marLeft w:val="0"/>
                  <w:marRight w:val="0"/>
                  <w:marTop w:val="0"/>
                  <w:marBottom w:val="0"/>
                  <w:divBdr>
                    <w:top w:val="none" w:sz="0" w:space="0" w:color="auto"/>
                    <w:left w:val="none" w:sz="0" w:space="0" w:color="auto"/>
                    <w:bottom w:val="none" w:sz="0" w:space="0" w:color="auto"/>
                    <w:right w:val="none" w:sz="0" w:space="0" w:color="auto"/>
                  </w:divBdr>
                  <w:divsChild>
                    <w:div w:id="590969487">
                      <w:marLeft w:val="0"/>
                      <w:marRight w:val="0"/>
                      <w:marTop w:val="0"/>
                      <w:marBottom w:val="0"/>
                      <w:divBdr>
                        <w:top w:val="none" w:sz="0" w:space="0" w:color="auto"/>
                        <w:left w:val="none" w:sz="0" w:space="0" w:color="auto"/>
                        <w:bottom w:val="none" w:sz="0" w:space="0" w:color="auto"/>
                        <w:right w:val="none" w:sz="0" w:space="0" w:color="auto"/>
                      </w:divBdr>
                    </w:div>
                    <w:div w:id="1984507225">
                      <w:marLeft w:val="0"/>
                      <w:marRight w:val="0"/>
                      <w:marTop w:val="0"/>
                      <w:marBottom w:val="0"/>
                      <w:divBdr>
                        <w:top w:val="none" w:sz="0" w:space="0" w:color="auto"/>
                        <w:left w:val="none" w:sz="0" w:space="0" w:color="auto"/>
                        <w:bottom w:val="none" w:sz="0" w:space="0" w:color="auto"/>
                        <w:right w:val="none" w:sz="0" w:space="0" w:color="auto"/>
                      </w:divBdr>
                    </w:div>
                  </w:divsChild>
                </w:div>
                <w:div w:id="974414624">
                  <w:marLeft w:val="0"/>
                  <w:marRight w:val="0"/>
                  <w:marTop w:val="0"/>
                  <w:marBottom w:val="0"/>
                  <w:divBdr>
                    <w:top w:val="none" w:sz="0" w:space="0" w:color="auto"/>
                    <w:left w:val="none" w:sz="0" w:space="0" w:color="auto"/>
                    <w:bottom w:val="none" w:sz="0" w:space="0" w:color="auto"/>
                    <w:right w:val="none" w:sz="0" w:space="0" w:color="auto"/>
                  </w:divBdr>
                  <w:divsChild>
                    <w:div w:id="147914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771305">
          <w:marLeft w:val="0"/>
          <w:marRight w:val="0"/>
          <w:marTop w:val="0"/>
          <w:marBottom w:val="0"/>
          <w:divBdr>
            <w:top w:val="none" w:sz="0" w:space="0" w:color="auto"/>
            <w:left w:val="none" w:sz="0" w:space="0" w:color="auto"/>
            <w:bottom w:val="none" w:sz="0" w:space="0" w:color="auto"/>
            <w:right w:val="none" w:sz="0" w:space="0" w:color="auto"/>
          </w:divBdr>
          <w:divsChild>
            <w:div w:id="1697660560">
              <w:marLeft w:val="0"/>
              <w:marRight w:val="0"/>
              <w:marTop w:val="0"/>
              <w:marBottom w:val="0"/>
              <w:divBdr>
                <w:top w:val="none" w:sz="0" w:space="0" w:color="auto"/>
                <w:left w:val="none" w:sz="0" w:space="0" w:color="auto"/>
                <w:bottom w:val="none" w:sz="0" w:space="0" w:color="auto"/>
                <w:right w:val="none" w:sz="0" w:space="0" w:color="auto"/>
              </w:divBdr>
              <w:divsChild>
                <w:div w:id="1050111005">
                  <w:marLeft w:val="0"/>
                  <w:marRight w:val="0"/>
                  <w:marTop w:val="0"/>
                  <w:marBottom w:val="0"/>
                  <w:divBdr>
                    <w:top w:val="none" w:sz="0" w:space="0" w:color="auto"/>
                    <w:left w:val="none" w:sz="0" w:space="0" w:color="auto"/>
                    <w:bottom w:val="none" w:sz="0" w:space="0" w:color="auto"/>
                    <w:right w:val="none" w:sz="0" w:space="0" w:color="auto"/>
                  </w:divBdr>
                  <w:divsChild>
                    <w:div w:id="1361472865">
                      <w:marLeft w:val="0"/>
                      <w:marRight w:val="0"/>
                      <w:marTop w:val="0"/>
                      <w:marBottom w:val="0"/>
                      <w:divBdr>
                        <w:top w:val="none" w:sz="0" w:space="0" w:color="auto"/>
                        <w:left w:val="none" w:sz="0" w:space="0" w:color="auto"/>
                        <w:bottom w:val="none" w:sz="0" w:space="0" w:color="auto"/>
                        <w:right w:val="none" w:sz="0" w:space="0" w:color="auto"/>
                      </w:divBdr>
                    </w:div>
                    <w:div w:id="1222860304">
                      <w:marLeft w:val="0"/>
                      <w:marRight w:val="0"/>
                      <w:marTop w:val="0"/>
                      <w:marBottom w:val="0"/>
                      <w:divBdr>
                        <w:top w:val="none" w:sz="0" w:space="0" w:color="auto"/>
                        <w:left w:val="none" w:sz="0" w:space="0" w:color="auto"/>
                        <w:bottom w:val="none" w:sz="0" w:space="0" w:color="auto"/>
                        <w:right w:val="none" w:sz="0" w:space="0" w:color="auto"/>
                      </w:divBdr>
                    </w:div>
                  </w:divsChild>
                </w:div>
                <w:div w:id="1621720402">
                  <w:marLeft w:val="0"/>
                  <w:marRight w:val="0"/>
                  <w:marTop w:val="0"/>
                  <w:marBottom w:val="0"/>
                  <w:divBdr>
                    <w:top w:val="none" w:sz="0" w:space="0" w:color="auto"/>
                    <w:left w:val="none" w:sz="0" w:space="0" w:color="auto"/>
                    <w:bottom w:val="none" w:sz="0" w:space="0" w:color="auto"/>
                    <w:right w:val="none" w:sz="0" w:space="0" w:color="auto"/>
                  </w:divBdr>
                  <w:divsChild>
                    <w:div w:id="68620445">
                      <w:marLeft w:val="0"/>
                      <w:marRight w:val="0"/>
                      <w:marTop w:val="0"/>
                      <w:marBottom w:val="0"/>
                      <w:divBdr>
                        <w:top w:val="none" w:sz="0" w:space="0" w:color="auto"/>
                        <w:left w:val="none" w:sz="0" w:space="0" w:color="auto"/>
                        <w:bottom w:val="none" w:sz="0" w:space="0" w:color="auto"/>
                        <w:right w:val="none" w:sz="0" w:space="0" w:color="auto"/>
                      </w:divBdr>
                    </w:div>
                  </w:divsChild>
                </w:div>
                <w:div w:id="204106462">
                  <w:marLeft w:val="0"/>
                  <w:marRight w:val="0"/>
                  <w:marTop w:val="0"/>
                  <w:marBottom w:val="0"/>
                  <w:divBdr>
                    <w:top w:val="none" w:sz="0" w:space="0" w:color="auto"/>
                    <w:left w:val="none" w:sz="0" w:space="0" w:color="auto"/>
                    <w:bottom w:val="none" w:sz="0" w:space="0" w:color="auto"/>
                    <w:right w:val="none" w:sz="0" w:space="0" w:color="auto"/>
                  </w:divBdr>
                  <w:divsChild>
                    <w:div w:id="1466778737">
                      <w:marLeft w:val="0"/>
                      <w:marRight w:val="0"/>
                      <w:marTop w:val="0"/>
                      <w:marBottom w:val="0"/>
                      <w:divBdr>
                        <w:top w:val="none" w:sz="0" w:space="0" w:color="auto"/>
                        <w:left w:val="none" w:sz="0" w:space="0" w:color="auto"/>
                        <w:bottom w:val="none" w:sz="0" w:space="0" w:color="auto"/>
                        <w:right w:val="none" w:sz="0" w:space="0" w:color="auto"/>
                      </w:divBdr>
                    </w:div>
                    <w:div w:id="128072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469512">
          <w:marLeft w:val="0"/>
          <w:marRight w:val="0"/>
          <w:marTop w:val="0"/>
          <w:marBottom w:val="0"/>
          <w:divBdr>
            <w:top w:val="none" w:sz="0" w:space="0" w:color="auto"/>
            <w:left w:val="none" w:sz="0" w:space="0" w:color="auto"/>
            <w:bottom w:val="none" w:sz="0" w:space="0" w:color="auto"/>
            <w:right w:val="none" w:sz="0" w:space="0" w:color="auto"/>
          </w:divBdr>
          <w:divsChild>
            <w:div w:id="1400132040">
              <w:marLeft w:val="0"/>
              <w:marRight w:val="0"/>
              <w:marTop w:val="0"/>
              <w:marBottom w:val="0"/>
              <w:divBdr>
                <w:top w:val="none" w:sz="0" w:space="0" w:color="auto"/>
                <w:left w:val="none" w:sz="0" w:space="0" w:color="auto"/>
                <w:bottom w:val="none" w:sz="0" w:space="0" w:color="auto"/>
                <w:right w:val="none" w:sz="0" w:space="0" w:color="auto"/>
              </w:divBdr>
              <w:divsChild>
                <w:div w:id="487132100">
                  <w:marLeft w:val="0"/>
                  <w:marRight w:val="0"/>
                  <w:marTop w:val="0"/>
                  <w:marBottom w:val="0"/>
                  <w:divBdr>
                    <w:top w:val="none" w:sz="0" w:space="0" w:color="auto"/>
                    <w:left w:val="none" w:sz="0" w:space="0" w:color="auto"/>
                    <w:bottom w:val="none" w:sz="0" w:space="0" w:color="auto"/>
                    <w:right w:val="none" w:sz="0" w:space="0" w:color="auto"/>
                  </w:divBdr>
                  <w:divsChild>
                    <w:div w:id="993145557">
                      <w:marLeft w:val="0"/>
                      <w:marRight w:val="0"/>
                      <w:marTop w:val="0"/>
                      <w:marBottom w:val="0"/>
                      <w:divBdr>
                        <w:top w:val="none" w:sz="0" w:space="0" w:color="auto"/>
                        <w:left w:val="none" w:sz="0" w:space="0" w:color="auto"/>
                        <w:bottom w:val="none" w:sz="0" w:space="0" w:color="auto"/>
                        <w:right w:val="none" w:sz="0" w:space="0" w:color="auto"/>
                      </w:divBdr>
                    </w:div>
                  </w:divsChild>
                </w:div>
                <w:div w:id="1213496284">
                  <w:marLeft w:val="0"/>
                  <w:marRight w:val="0"/>
                  <w:marTop w:val="0"/>
                  <w:marBottom w:val="0"/>
                  <w:divBdr>
                    <w:top w:val="none" w:sz="0" w:space="0" w:color="auto"/>
                    <w:left w:val="none" w:sz="0" w:space="0" w:color="auto"/>
                    <w:bottom w:val="none" w:sz="0" w:space="0" w:color="auto"/>
                    <w:right w:val="none" w:sz="0" w:space="0" w:color="auto"/>
                  </w:divBdr>
                  <w:divsChild>
                    <w:div w:id="1812021173">
                      <w:marLeft w:val="0"/>
                      <w:marRight w:val="0"/>
                      <w:marTop w:val="0"/>
                      <w:marBottom w:val="0"/>
                      <w:divBdr>
                        <w:top w:val="none" w:sz="0" w:space="0" w:color="auto"/>
                        <w:left w:val="none" w:sz="0" w:space="0" w:color="auto"/>
                        <w:bottom w:val="none" w:sz="0" w:space="0" w:color="auto"/>
                        <w:right w:val="none" w:sz="0" w:space="0" w:color="auto"/>
                      </w:divBdr>
                    </w:div>
                    <w:div w:id="55242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655039">
          <w:marLeft w:val="0"/>
          <w:marRight w:val="0"/>
          <w:marTop w:val="0"/>
          <w:marBottom w:val="0"/>
          <w:divBdr>
            <w:top w:val="none" w:sz="0" w:space="0" w:color="auto"/>
            <w:left w:val="none" w:sz="0" w:space="0" w:color="auto"/>
            <w:bottom w:val="none" w:sz="0" w:space="0" w:color="auto"/>
            <w:right w:val="none" w:sz="0" w:space="0" w:color="auto"/>
          </w:divBdr>
          <w:divsChild>
            <w:div w:id="280067034">
              <w:marLeft w:val="0"/>
              <w:marRight w:val="0"/>
              <w:marTop w:val="0"/>
              <w:marBottom w:val="0"/>
              <w:divBdr>
                <w:top w:val="none" w:sz="0" w:space="0" w:color="auto"/>
                <w:left w:val="none" w:sz="0" w:space="0" w:color="auto"/>
                <w:bottom w:val="none" w:sz="0" w:space="0" w:color="auto"/>
                <w:right w:val="none" w:sz="0" w:space="0" w:color="auto"/>
              </w:divBdr>
              <w:divsChild>
                <w:div w:id="439877798">
                  <w:marLeft w:val="0"/>
                  <w:marRight w:val="0"/>
                  <w:marTop w:val="0"/>
                  <w:marBottom w:val="0"/>
                  <w:divBdr>
                    <w:top w:val="none" w:sz="0" w:space="0" w:color="auto"/>
                    <w:left w:val="none" w:sz="0" w:space="0" w:color="auto"/>
                    <w:bottom w:val="none" w:sz="0" w:space="0" w:color="auto"/>
                    <w:right w:val="none" w:sz="0" w:space="0" w:color="auto"/>
                  </w:divBdr>
                  <w:divsChild>
                    <w:div w:id="93137385">
                      <w:marLeft w:val="0"/>
                      <w:marRight w:val="0"/>
                      <w:marTop w:val="0"/>
                      <w:marBottom w:val="0"/>
                      <w:divBdr>
                        <w:top w:val="none" w:sz="0" w:space="0" w:color="auto"/>
                        <w:left w:val="none" w:sz="0" w:space="0" w:color="auto"/>
                        <w:bottom w:val="none" w:sz="0" w:space="0" w:color="auto"/>
                        <w:right w:val="none" w:sz="0" w:space="0" w:color="auto"/>
                      </w:divBdr>
                    </w:div>
                    <w:div w:id="1614898727">
                      <w:marLeft w:val="0"/>
                      <w:marRight w:val="0"/>
                      <w:marTop w:val="0"/>
                      <w:marBottom w:val="0"/>
                      <w:divBdr>
                        <w:top w:val="none" w:sz="0" w:space="0" w:color="auto"/>
                        <w:left w:val="none" w:sz="0" w:space="0" w:color="auto"/>
                        <w:bottom w:val="none" w:sz="0" w:space="0" w:color="auto"/>
                        <w:right w:val="none" w:sz="0" w:space="0" w:color="auto"/>
                      </w:divBdr>
                    </w:div>
                  </w:divsChild>
                </w:div>
                <w:div w:id="1664435042">
                  <w:marLeft w:val="0"/>
                  <w:marRight w:val="0"/>
                  <w:marTop w:val="0"/>
                  <w:marBottom w:val="0"/>
                  <w:divBdr>
                    <w:top w:val="none" w:sz="0" w:space="0" w:color="auto"/>
                    <w:left w:val="none" w:sz="0" w:space="0" w:color="auto"/>
                    <w:bottom w:val="none" w:sz="0" w:space="0" w:color="auto"/>
                    <w:right w:val="none" w:sz="0" w:space="0" w:color="auto"/>
                  </w:divBdr>
                  <w:divsChild>
                    <w:div w:id="194499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740607">
          <w:marLeft w:val="0"/>
          <w:marRight w:val="0"/>
          <w:marTop w:val="0"/>
          <w:marBottom w:val="0"/>
          <w:divBdr>
            <w:top w:val="none" w:sz="0" w:space="0" w:color="auto"/>
            <w:left w:val="none" w:sz="0" w:space="0" w:color="auto"/>
            <w:bottom w:val="none" w:sz="0" w:space="0" w:color="auto"/>
            <w:right w:val="none" w:sz="0" w:space="0" w:color="auto"/>
          </w:divBdr>
          <w:divsChild>
            <w:div w:id="1772123653">
              <w:marLeft w:val="0"/>
              <w:marRight w:val="0"/>
              <w:marTop w:val="0"/>
              <w:marBottom w:val="0"/>
              <w:divBdr>
                <w:top w:val="none" w:sz="0" w:space="0" w:color="auto"/>
                <w:left w:val="none" w:sz="0" w:space="0" w:color="auto"/>
                <w:bottom w:val="none" w:sz="0" w:space="0" w:color="auto"/>
                <w:right w:val="none" w:sz="0" w:space="0" w:color="auto"/>
              </w:divBdr>
              <w:divsChild>
                <w:div w:id="1506434815">
                  <w:marLeft w:val="0"/>
                  <w:marRight w:val="0"/>
                  <w:marTop w:val="0"/>
                  <w:marBottom w:val="0"/>
                  <w:divBdr>
                    <w:top w:val="none" w:sz="0" w:space="0" w:color="auto"/>
                    <w:left w:val="none" w:sz="0" w:space="0" w:color="auto"/>
                    <w:bottom w:val="none" w:sz="0" w:space="0" w:color="auto"/>
                    <w:right w:val="none" w:sz="0" w:space="0" w:color="auto"/>
                  </w:divBdr>
                  <w:divsChild>
                    <w:div w:id="313030203">
                      <w:marLeft w:val="0"/>
                      <w:marRight w:val="0"/>
                      <w:marTop w:val="0"/>
                      <w:marBottom w:val="0"/>
                      <w:divBdr>
                        <w:top w:val="none" w:sz="0" w:space="0" w:color="auto"/>
                        <w:left w:val="none" w:sz="0" w:space="0" w:color="auto"/>
                        <w:bottom w:val="none" w:sz="0" w:space="0" w:color="auto"/>
                        <w:right w:val="none" w:sz="0" w:space="0" w:color="auto"/>
                      </w:divBdr>
                    </w:div>
                  </w:divsChild>
                </w:div>
                <w:div w:id="1505628094">
                  <w:marLeft w:val="0"/>
                  <w:marRight w:val="0"/>
                  <w:marTop w:val="0"/>
                  <w:marBottom w:val="0"/>
                  <w:divBdr>
                    <w:top w:val="none" w:sz="0" w:space="0" w:color="auto"/>
                    <w:left w:val="none" w:sz="0" w:space="0" w:color="auto"/>
                    <w:bottom w:val="none" w:sz="0" w:space="0" w:color="auto"/>
                    <w:right w:val="none" w:sz="0" w:space="0" w:color="auto"/>
                  </w:divBdr>
                  <w:divsChild>
                    <w:div w:id="458842667">
                      <w:marLeft w:val="0"/>
                      <w:marRight w:val="0"/>
                      <w:marTop w:val="0"/>
                      <w:marBottom w:val="0"/>
                      <w:divBdr>
                        <w:top w:val="none" w:sz="0" w:space="0" w:color="auto"/>
                        <w:left w:val="none" w:sz="0" w:space="0" w:color="auto"/>
                        <w:bottom w:val="none" w:sz="0" w:space="0" w:color="auto"/>
                        <w:right w:val="none" w:sz="0" w:space="0" w:color="auto"/>
                      </w:divBdr>
                    </w:div>
                    <w:div w:id="103384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108918">
          <w:marLeft w:val="0"/>
          <w:marRight w:val="0"/>
          <w:marTop w:val="0"/>
          <w:marBottom w:val="0"/>
          <w:divBdr>
            <w:top w:val="none" w:sz="0" w:space="0" w:color="auto"/>
            <w:left w:val="none" w:sz="0" w:space="0" w:color="auto"/>
            <w:bottom w:val="none" w:sz="0" w:space="0" w:color="auto"/>
            <w:right w:val="none" w:sz="0" w:space="0" w:color="auto"/>
          </w:divBdr>
          <w:divsChild>
            <w:div w:id="863246062">
              <w:marLeft w:val="0"/>
              <w:marRight w:val="0"/>
              <w:marTop w:val="0"/>
              <w:marBottom w:val="0"/>
              <w:divBdr>
                <w:top w:val="none" w:sz="0" w:space="0" w:color="auto"/>
                <w:left w:val="none" w:sz="0" w:space="0" w:color="auto"/>
                <w:bottom w:val="none" w:sz="0" w:space="0" w:color="auto"/>
                <w:right w:val="none" w:sz="0" w:space="0" w:color="auto"/>
              </w:divBdr>
              <w:divsChild>
                <w:div w:id="1249465749">
                  <w:marLeft w:val="0"/>
                  <w:marRight w:val="0"/>
                  <w:marTop w:val="0"/>
                  <w:marBottom w:val="0"/>
                  <w:divBdr>
                    <w:top w:val="none" w:sz="0" w:space="0" w:color="auto"/>
                    <w:left w:val="none" w:sz="0" w:space="0" w:color="auto"/>
                    <w:bottom w:val="none" w:sz="0" w:space="0" w:color="auto"/>
                    <w:right w:val="none" w:sz="0" w:space="0" w:color="auto"/>
                  </w:divBdr>
                  <w:divsChild>
                    <w:div w:id="1779524761">
                      <w:marLeft w:val="0"/>
                      <w:marRight w:val="0"/>
                      <w:marTop w:val="0"/>
                      <w:marBottom w:val="0"/>
                      <w:divBdr>
                        <w:top w:val="none" w:sz="0" w:space="0" w:color="auto"/>
                        <w:left w:val="none" w:sz="0" w:space="0" w:color="auto"/>
                        <w:bottom w:val="none" w:sz="0" w:space="0" w:color="auto"/>
                        <w:right w:val="none" w:sz="0" w:space="0" w:color="auto"/>
                      </w:divBdr>
                    </w:div>
                    <w:div w:id="1778214831">
                      <w:marLeft w:val="0"/>
                      <w:marRight w:val="0"/>
                      <w:marTop w:val="0"/>
                      <w:marBottom w:val="0"/>
                      <w:divBdr>
                        <w:top w:val="none" w:sz="0" w:space="0" w:color="auto"/>
                        <w:left w:val="none" w:sz="0" w:space="0" w:color="auto"/>
                        <w:bottom w:val="none" w:sz="0" w:space="0" w:color="auto"/>
                        <w:right w:val="none" w:sz="0" w:space="0" w:color="auto"/>
                      </w:divBdr>
                    </w:div>
                  </w:divsChild>
                </w:div>
                <w:div w:id="2037079451">
                  <w:marLeft w:val="0"/>
                  <w:marRight w:val="0"/>
                  <w:marTop w:val="0"/>
                  <w:marBottom w:val="0"/>
                  <w:divBdr>
                    <w:top w:val="none" w:sz="0" w:space="0" w:color="auto"/>
                    <w:left w:val="none" w:sz="0" w:space="0" w:color="auto"/>
                    <w:bottom w:val="none" w:sz="0" w:space="0" w:color="auto"/>
                    <w:right w:val="none" w:sz="0" w:space="0" w:color="auto"/>
                  </w:divBdr>
                  <w:divsChild>
                    <w:div w:id="163055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498818">
          <w:marLeft w:val="0"/>
          <w:marRight w:val="0"/>
          <w:marTop w:val="0"/>
          <w:marBottom w:val="0"/>
          <w:divBdr>
            <w:top w:val="none" w:sz="0" w:space="0" w:color="auto"/>
            <w:left w:val="none" w:sz="0" w:space="0" w:color="auto"/>
            <w:bottom w:val="none" w:sz="0" w:space="0" w:color="auto"/>
            <w:right w:val="none" w:sz="0" w:space="0" w:color="auto"/>
          </w:divBdr>
          <w:divsChild>
            <w:div w:id="811361748">
              <w:marLeft w:val="0"/>
              <w:marRight w:val="0"/>
              <w:marTop w:val="0"/>
              <w:marBottom w:val="0"/>
              <w:divBdr>
                <w:top w:val="none" w:sz="0" w:space="0" w:color="auto"/>
                <w:left w:val="none" w:sz="0" w:space="0" w:color="auto"/>
                <w:bottom w:val="none" w:sz="0" w:space="0" w:color="auto"/>
                <w:right w:val="none" w:sz="0" w:space="0" w:color="auto"/>
              </w:divBdr>
              <w:divsChild>
                <w:div w:id="175777400">
                  <w:marLeft w:val="0"/>
                  <w:marRight w:val="0"/>
                  <w:marTop w:val="0"/>
                  <w:marBottom w:val="0"/>
                  <w:divBdr>
                    <w:top w:val="none" w:sz="0" w:space="0" w:color="auto"/>
                    <w:left w:val="none" w:sz="0" w:space="0" w:color="auto"/>
                    <w:bottom w:val="none" w:sz="0" w:space="0" w:color="auto"/>
                    <w:right w:val="none" w:sz="0" w:space="0" w:color="auto"/>
                  </w:divBdr>
                  <w:divsChild>
                    <w:div w:id="1971282484">
                      <w:marLeft w:val="0"/>
                      <w:marRight w:val="0"/>
                      <w:marTop w:val="0"/>
                      <w:marBottom w:val="0"/>
                      <w:divBdr>
                        <w:top w:val="none" w:sz="0" w:space="0" w:color="auto"/>
                        <w:left w:val="none" w:sz="0" w:space="0" w:color="auto"/>
                        <w:bottom w:val="none" w:sz="0" w:space="0" w:color="auto"/>
                        <w:right w:val="none" w:sz="0" w:space="0" w:color="auto"/>
                      </w:divBdr>
                    </w:div>
                  </w:divsChild>
                </w:div>
                <w:div w:id="443113795">
                  <w:marLeft w:val="0"/>
                  <w:marRight w:val="0"/>
                  <w:marTop w:val="0"/>
                  <w:marBottom w:val="0"/>
                  <w:divBdr>
                    <w:top w:val="none" w:sz="0" w:space="0" w:color="auto"/>
                    <w:left w:val="none" w:sz="0" w:space="0" w:color="auto"/>
                    <w:bottom w:val="none" w:sz="0" w:space="0" w:color="auto"/>
                    <w:right w:val="none" w:sz="0" w:space="0" w:color="auto"/>
                  </w:divBdr>
                  <w:divsChild>
                    <w:div w:id="1440370517">
                      <w:marLeft w:val="0"/>
                      <w:marRight w:val="0"/>
                      <w:marTop w:val="0"/>
                      <w:marBottom w:val="0"/>
                      <w:divBdr>
                        <w:top w:val="none" w:sz="0" w:space="0" w:color="auto"/>
                        <w:left w:val="none" w:sz="0" w:space="0" w:color="auto"/>
                        <w:bottom w:val="none" w:sz="0" w:space="0" w:color="auto"/>
                        <w:right w:val="none" w:sz="0" w:space="0" w:color="auto"/>
                      </w:divBdr>
                    </w:div>
                  </w:divsChild>
                </w:div>
                <w:div w:id="474875936">
                  <w:marLeft w:val="0"/>
                  <w:marRight w:val="0"/>
                  <w:marTop w:val="0"/>
                  <w:marBottom w:val="0"/>
                  <w:divBdr>
                    <w:top w:val="none" w:sz="0" w:space="0" w:color="auto"/>
                    <w:left w:val="none" w:sz="0" w:space="0" w:color="auto"/>
                    <w:bottom w:val="none" w:sz="0" w:space="0" w:color="auto"/>
                    <w:right w:val="none" w:sz="0" w:space="0" w:color="auto"/>
                  </w:divBdr>
                  <w:divsChild>
                    <w:div w:id="1914897385">
                      <w:marLeft w:val="0"/>
                      <w:marRight w:val="0"/>
                      <w:marTop w:val="0"/>
                      <w:marBottom w:val="0"/>
                      <w:divBdr>
                        <w:top w:val="none" w:sz="0" w:space="0" w:color="auto"/>
                        <w:left w:val="none" w:sz="0" w:space="0" w:color="auto"/>
                        <w:bottom w:val="none" w:sz="0" w:space="0" w:color="auto"/>
                        <w:right w:val="none" w:sz="0" w:space="0" w:color="auto"/>
                      </w:divBdr>
                    </w:div>
                  </w:divsChild>
                </w:div>
                <w:div w:id="114643219">
                  <w:marLeft w:val="0"/>
                  <w:marRight w:val="0"/>
                  <w:marTop w:val="0"/>
                  <w:marBottom w:val="0"/>
                  <w:divBdr>
                    <w:top w:val="none" w:sz="0" w:space="0" w:color="auto"/>
                    <w:left w:val="none" w:sz="0" w:space="0" w:color="auto"/>
                    <w:bottom w:val="none" w:sz="0" w:space="0" w:color="auto"/>
                    <w:right w:val="none" w:sz="0" w:space="0" w:color="auto"/>
                  </w:divBdr>
                  <w:divsChild>
                    <w:div w:id="1293750223">
                      <w:marLeft w:val="0"/>
                      <w:marRight w:val="0"/>
                      <w:marTop w:val="0"/>
                      <w:marBottom w:val="0"/>
                      <w:divBdr>
                        <w:top w:val="none" w:sz="0" w:space="0" w:color="auto"/>
                        <w:left w:val="none" w:sz="0" w:space="0" w:color="auto"/>
                        <w:bottom w:val="none" w:sz="0" w:space="0" w:color="auto"/>
                        <w:right w:val="none" w:sz="0" w:space="0" w:color="auto"/>
                      </w:divBdr>
                    </w:div>
                  </w:divsChild>
                </w:div>
                <w:div w:id="908154501">
                  <w:marLeft w:val="0"/>
                  <w:marRight w:val="0"/>
                  <w:marTop w:val="0"/>
                  <w:marBottom w:val="0"/>
                  <w:divBdr>
                    <w:top w:val="none" w:sz="0" w:space="0" w:color="auto"/>
                    <w:left w:val="none" w:sz="0" w:space="0" w:color="auto"/>
                    <w:bottom w:val="none" w:sz="0" w:space="0" w:color="auto"/>
                    <w:right w:val="none" w:sz="0" w:space="0" w:color="auto"/>
                  </w:divBdr>
                  <w:divsChild>
                    <w:div w:id="1795976978">
                      <w:marLeft w:val="0"/>
                      <w:marRight w:val="0"/>
                      <w:marTop w:val="0"/>
                      <w:marBottom w:val="0"/>
                      <w:divBdr>
                        <w:top w:val="none" w:sz="0" w:space="0" w:color="auto"/>
                        <w:left w:val="none" w:sz="0" w:space="0" w:color="auto"/>
                        <w:bottom w:val="none" w:sz="0" w:space="0" w:color="auto"/>
                        <w:right w:val="none" w:sz="0" w:space="0" w:color="auto"/>
                      </w:divBdr>
                    </w:div>
                  </w:divsChild>
                </w:div>
                <w:div w:id="959414199">
                  <w:marLeft w:val="0"/>
                  <w:marRight w:val="0"/>
                  <w:marTop w:val="0"/>
                  <w:marBottom w:val="0"/>
                  <w:divBdr>
                    <w:top w:val="none" w:sz="0" w:space="0" w:color="auto"/>
                    <w:left w:val="none" w:sz="0" w:space="0" w:color="auto"/>
                    <w:bottom w:val="none" w:sz="0" w:space="0" w:color="auto"/>
                    <w:right w:val="none" w:sz="0" w:space="0" w:color="auto"/>
                  </w:divBdr>
                  <w:divsChild>
                    <w:div w:id="120934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748506">
          <w:marLeft w:val="0"/>
          <w:marRight w:val="0"/>
          <w:marTop w:val="0"/>
          <w:marBottom w:val="0"/>
          <w:divBdr>
            <w:top w:val="none" w:sz="0" w:space="0" w:color="auto"/>
            <w:left w:val="none" w:sz="0" w:space="0" w:color="auto"/>
            <w:bottom w:val="none" w:sz="0" w:space="0" w:color="auto"/>
            <w:right w:val="none" w:sz="0" w:space="0" w:color="auto"/>
          </w:divBdr>
          <w:divsChild>
            <w:div w:id="1301620085">
              <w:marLeft w:val="0"/>
              <w:marRight w:val="0"/>
              <w:marTop w:val="0"/>
              <w:marBottom w:val="0"/>
              <w:divBdr>
                <w:top w:val="none" w:sz="0" w:space="0" w:color="auto"/>
                <w:left w:val="none" w:sz="0" w:space="0" w:color="auto"/>
                <w:bottom w:val="none" w:sz="0" w:space="0" w:color="auto"/>
                <w:right w:val="none" w:sz="0" w:space="0" w:color="auto"/>
              </w:divBdr>
              <w:divsChild>
                <w:div w:id="23142734">
                  <w:marLeft w:val="0"/>
                  <w:marRight w:val="0"/>
                  <w:marTop w:val="0"/>
                  <w:marBottom w:val="0"/>
                  <w:divBdr>
                    <w:top w:val="none" w:sz="0" w:space="0" w:color="auto"/>
                    <w:left w:val="none" w:sz="0" w:space="0" w:color="auto"/>
                    <w:bottom w:val="none" w:sz="0" w:space="0" w:color="auto"/>
                    <w:right w:val="none" w:sz="0" w:space="0" w:color="auto"/>
                  </w:divBdr>
                  <w:divsChild>
                    <w:div w:id="2096197761">
                      <w:marLeft w:val="0"/>
                      <w:marRight w:val="0"/>
                      <w:marTop w:val="0"/>
                      <w:marBottom w:val="0"/>
                      <w:divBdr>
                        <w:top w:val="none" w:sz="0" w:space="0" w:color="auto"/>
                        <w:left w:val="none" w:sz="0" w:space="0" w:color="auto"/>
                        <w:bottom w:val="none" w:sz="0" w:space="0" w:color="auto"/>
                        <w:right w:val="none" w:sz="0" w:space="0" w:color="auto"/>
                      </w:divBdr>
                    </w:div>
                    <w:div w:id="958534714">
                      <w:marLeft w:val="0"/>
                      <w:marRight w:val="0"/>
                      <w:marTop w:val="0"/>
                      <w:marBottom w:val="0"/>
                      <w:divBdr>
                        <w:top w:val="none" w:sz="0" w:space="0" w:color="auto"/>
                        <w:left w:val="none" w:sz="0" w:space="0" w:color="auto"/>
                        <w:bottom w:val="none" w:sz="0" w:space="0" w:color="auto"/>
                        <w:right w:val="none" w:sz="0" w:space="0" w:color="auto"/>
                      </w:divBdr>
                    </w:div>
                  </w:divsChild>
                </w:div>
                <w:div w:id="1823502903">
                  <w:marLeft w:val="0"/>
                  <w:marRight w:val="0"/>
                  <w:marTop w:val="0"/>
                  <w:marBottom w:val="0"/>
                  <w:divBdr>
                    <w:top w:val="none" w:sz="0" w:space="0" w:color="auto"/>
                    <w:left w:val="none" w:sz="0" w:space="0" w:color="auto"/>
                    <w:bottom w:val="none" w:sz="0" w:space="0" w:color="auto"/>
                    <w:right w:val="none" w:sz="0" w:space="0" w:color="auto"/>
                  </w:divBdr>
                  <w:divsChild>
                    <w:div w:id="134555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351184">
          <w:marLeft w:val="0"/>
          <w:marRight w:val="0"/>
          <w:marTop w:val="0"/>
          <w:marBottom w:val="0"/>
          <w:divBdr>
            <w:top w:val="none" w:sz="0" w:space="0" w:color="auto"/>
            <w:left w:val="none" w:sz="0" w:space="0" w:color="auto"/>
            <w:bottom w:val="none" w:sz="0" w:space="0" w:color="auto"/>
            <w:right w:val="none" w:sz="0" w:space="0" w:color="auto"/>
          </w:divBdr>
          <w:divsChild>
            <w:div w:id="583608554">
              <w:marLeft w:val="0"/>
              <w:marRight w:val="0"/>
              <w:marTop w:val="0"/>
              <w:marBottom w:val="0"/>
              <w:divBdr>
                <w:top w:val="none" w:sz="0" w:space="0" w:color="auto"/>
                <w:left w:val="none" w:sz="0" w:space="0" w:color="auto"/>
                <w:bottom w:val="none" w:sz="0" w:space="0" w:color="auto"/>
                <w:right w:val="none" w:sz="0" w:space="0" w:color="auto"/>
              </w:divBdr>
              <w:divsChild>
                <w:div w:id="356546804">
                  <w:marLeft w:val="0"/>
                  <w:marRight w:val="0"/>
                  <w:marTop w:val="0"/>
                  <w:marBottom w:val="0"/>
                  <w:divBdr>
                    <w:top w:val="none" w:sz="0" w:space="0" w:color="auto"/>
                    <w:left w:val="none" w:sz="0" w:space="0" w:color="auto"/>
                    <w:bottom w:val="none" w:sz="0" w:space="0" w:color="auto"/>
                    <w:right w:val="none" w:sz="0" w:space="0" w:color="auto"/>
                  </w:divBdr>
                  <w:divsChild>
                    <w:div w:id="2007246294">
                      <w:marLeft w:val="0"/>
                      <w:marRight w:val="0"/>
                      <w:marTop w:val="0"/>
                      <w:marBottom w:val="0"/>
                      <w:divBdr>
                        <w:top w:val="none" w:sz="0" w:space="0" w:color="auto"/>
                        <w:left w:val="none" w:sz="0" w:space="0" w:color="auto"/>
                        <w:bottom w:val="none" w:sz="0" w:space="0" w:color="auto"/>
                        <w:right w:val="none" w:sz="0" w:space="0" w:color="auto"/>
                      </w:divBdr>
                    </w:div>
                  </w:divsChild>
                </w:div>
                <w:div w:id="313803685">
                  <w:marLeft w:val="0"/>
                  <w:marRight w:val="0"/>
                  <w:marTop w:val="0"/>
                  <w:marBottom w:val="0"/>
                  <w:divBdr>
                    <w:top w:val="none" w:sz="0" w:space="0" w:color="auto"/>
                    <w:left w:val="none" w:sz="0" w:space="0" w:color="auto"/>
                    <w:bottom w:val="none" w:sz="0" w:space="0" w:color="auto"/>
                    <w:right w:val="none" w:sz="0" w:space="0" w:color="auto"/>
                  </w:divBdr>
                  <w:divsChild>
                    <w:div w:id="1509977585">
                      <w:marLeft w:val="0"/>
                      <w:marRight w:val="0"/>
                      <w:marTop w:val="0"/>
                      <w:marBottom w:val="0"/>
                      <w:divBdr>
                        <w:top w:val="none" w:sz="0" w:space="0" w:color="auto"/>
                        <w:left w:val="none" w:sz="0" w:space="0" w:color="auto"/>
                        <w:bottom w:val="none" w:sz="0" w:space="0" w:color="auto"/>
                        <w:right w:val="none" w:sz="0" w:space="0" w:color="auto"/>
                      </w:divBdr>
                    </w:div>
                    <w:div w:id="1764497450">
                      <w:marLeft w:val="0"/>
                      <w:marRight w:val="0"/>
                      <w:marTop w:val="0"/>
                      <w:marBottom w:val="0"/>
                      <w:divBdr>
                        <w:top w:val="none" w:sz="0" w:space="0" w:color="auto"/>
                        <w:left w:val="none" w:sz="0" w:space="0" w:color="auto"/>
                        <w:bottom w:val="none" w:sz="0" w:space="0" w:color="auto"/>
                        <w:right w:val="none" w:sz="0" w:space="0" w:color="auto"/>
                      </w:divBdr>
                    </w:div>
                  </w:divsChild>
                </w:div>
                <w:div w:id="1771899232">
                  <w:marLeft w:val="0"/>
                  <w:marRight w:val="0"/>
                  <w:marTop w:val="0"/>
                  <w:marBottom w:val="0"/>
                  <w:divBdr>
                    <w:top w:val="none" w:sz="0" w:space="0" w:color="auto"/>
                    <w:left w:val="none" w:sz="0" w:space="0" w:color="auto"/>
                    <w:bottom w:val="none" w:sz="0" w:space="0" w:color="auto"/>
                    <w:right w:val="none" w:sz="0" w:space="0" w:color="auto"/>
                  </w:divBdr>
                  <w:divsChild>
                    <w:div w:id="205915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367158">
          <w:marLeft w:val="0"/>
          <w:marRight w:val="0"/>
          <w:marTop w:val="0"/>
          <w:marBottom w:val="0"/>
          <w:divBdr>
            <w:top w:val="none" w:sz="0" w:space="0" w:color="auto"/>
            <w:left w:val="none" w:sz="0" w:space="0" w:color="auto"/>
            <w:bottom w:val="none" w:sz="0" w:space="0" w:color="auto"/>
            <w:right w:val="none" w:sz="0" w:space="0" w:color="auto"/>
          </w:divBdr>
          <w:divsChild>
            <w:div w:id="77560430">
              <w:marLeft w:val="0"/>
              <w:marRight w:val="0"/>
              <w:marTop w:val="0"/>
              <w:marBottom w:val="0"/>
              <w:divBdr>
                <w:top w:val="none" w:sz="0" w:space="0" w:color="auto"/>
                <w:left w:val="none" w:sz="0" w:space="0" w:color="auto"/>
                <w:bottom w:val="none" w:sz="0" w:space="0" w:color="auto"/>
                <w:right w:val="none" w:sz="0" w:space="0" w:color="auto"/>
              </w:divBdr>
              <w:divsChild>
                <w:div w:id="1956132651">
                  <w:marLeft w:val="0"/>
                  <w:marRight w:val="0"/>
                  <w:marTop w:val="0"/>
                  <w:marBottom w:val="0"/>
                  <w:divBdr>
                    <w:top w:val="none" w:sz="0" w:space="0" w:color="auto"/>
                    <w:left w:val="none" w:sz="0" w:space="0" w:color="auto"/>
                    <w:bottom w:val="none" w:sz="0" w:space="0" w:color="auto"/>
                    <w:right w:val="none" w:sz="0" w:space="0" w:color="auto"/>
                  </w:divBdr>
                  <w:divsChild>
                    <w:div w:id="196734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077214">
          <w:marLeft w:val="0"/>
          <w:marRight w:val="0"/>
          <w:marTop w:val="0"/>
          <w:marBottom w:val="0"/>
          <w:divBdr>
            <w:top w:val="none" w:sz="0" w:space="0" w:color="auto"/>
            <w:left w:val="none" w:sz="0" w:space="0" w:color="auto"/>
            <w:bottom w:val="none" w:sz="0" w:space="0" w:color="auto"/>
            <w:right w:val="none" w:sz="0" w:space="0" w:color="auto"/>
          </w:divBdr>
          <w:divsChild>
            <w:div w:id="1893956147">
              <w:marLeft w:val="0"/>
              <w:marRight w:val="0"/>
              <w:marTop w:val="0"/>
              <w:marBottom w:val="0"/>
              <w:divBdr>
                <w:top w:val="none" w:sz="0" w:space="0" w:color="auto"/>
                <w:left w:val="none" w:sz="0" w:space="0" w:color="auto"/>
                <w:bottom w:val="none" w:sz="0" w:space="0" w:color="auto"/>
                <w:right w:val="none" w:sz="0" w:space="0" w:color="auto"/>
              </w:divBdr>
              <w:divsChild>
                <w:div w:id="1611858987">
                  <w:marLeft w:val="0"/>
                  <w:marRight w:val="0"/>
                  <w:marTop w:val="0"/>
                  <w:marBottom w:val="0"/>
                  <w:divBdr>
                    <w:top w:val="none" w:sz="0" w:space="0" w:color="auto"/>
                    <w:left w:val="none" w:sz="0" w:space="0" w:color="auto"/>
                    <w:bottom w:val="none" w:sz="0" w:space="0" w:color="auto"/>
                    <w:right w:val="none" w:sz="0" w:space="0" w:color="auto"/>
                  </w:divBdr>
                  <w:divsChild>
                    <w:div w:id="1598515146">
                      <w:marLeft w:val="0"/>
                      <w:marRight w:val="0"/>
                      <w:marTop w:val="0"/>
                      <w:marBottom w:val="0"/>
                      <w:divBdr>
                        <w:top w:val="none" w:sz="0" w:space="0" w:color="auto"/>
                        <w:left w:val="none" w:sz="0" w:space="0" w:color="auto"/>
                        <w:bottom w:val="none" w:sz="0" w:space="0" w:color="auto"/>
                        <w:right w:val="none" w:sz="0" w:space="0" w:color="auto"/>
                      </w:divBdr>
                    </w:div>
                    <w:div w:id="175998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335059">
          <w:marLeft w:val="0"/>
          <w:marRight w:val="0"/>
          <w:marTop w:val="0"/>
          <w:marBottom w:val="0"/>
          <w:divBdr>
            <w:top w:val="none" w:sz="0" w:space="0" w:color="auto"/>
            <w:left w:val="none" w:sz="0" w:space="0" w:color="auto"/>
            <w:bottom w:val="none" w:sz="0" w:space="0" w:color="auto"/>
            <w:right w:val="none" w:sz="0" w:space="0" w:color="auto"/>
          </w:divBdr>
          <w:divsChild>
            <w:div w:id="1338654211">
              <w:marLeft w:val="0"/>
              <w:marRight w:val="0"/>
              <w:marTop w:val="0"/>
              <w:marBottom w:val="0"/>
              <w:divBdr>
                <w:top w:val="none" w:sz="0" w:space="0" w:color="auto"/>
                <w:left w:val="none" w:sz="0" w:space="0" w:color="auto"/>
                <w:bottom w:val="none" w:sz="0" w:space="0" w:color="auto"/>
                <w:right w:val="none" w:sz="0" w:space="0" w:color="auto"/>
              </w:divBdr>
              <w:divsChild>
                <w:div w:id="847333275">
                  <w:marLeft w:val="0"/>
                  <w:marRight w:val="0"/>
                  <w:marTop w:val="0"/>
                  <w:marBottom w:val="0"/>
                  <w:divBdr>
                    <w:top w:val="none" w:sz="0" w:space="0" w:color="auto"/>
                    <w:left w:val="none" w:sz="0" w:space="0" w:color="auto"/>
                    <w:bottom w:val="none" w:sz="0" w:space="0" w:color="auto"/>
                    <w:right w:val="none" w:sz="0" w:space="0" w:color="auto"/>
                  </w:divBdr>
                  <w:divsChild>
                    <w:div w:id="1231454166">
                      <w:marLeft w:val="0"/>
                      <w:marRight w:val="0"/>
                      <w:marTop w:val="0"/>
                      <w:marBottom w:val="0"/>
                      <w:divBdr>
                        <w:top w:val="none" w:sz="0" w:space="0" w:color="auto"/>
                        <w:left w:val="none" w:sz="0" w:space="0" w:color="auto"/>
                        <w:bottom w:val="none" w:sz="0" w:space="0" w:color="auto"/>
                        <w:right w:val="none" w:sz="0" w:space="0" w:color="auto"/>
                      </w:divBdr>
                    </w:div>
                    <w:div w:id="1678343542">
                      <w:marLeft w:val="0"/>
                      <w:marRight w:val="0"/>
                      <w:marTop w:val="0"/>
                      <w:marBottom w:val="0"/>
                      <w:divBdr>
                        <w:top w:val="none" w:sz="0" w:space="0" w:color="auto"/>
                        <w:left w:val="none" w:sz="0" w:space="0" w:color="auto"/>
                        <w:bottom w:val="none" w:sz="0" w:space="0" w:color="auto"/>
                        <w:right w:val="none" w:sz="0" w:space="0" w:color="auto"/>
                      </w:divBdr>
                    </w:div>
                  </w:divsChild>
                </w:div>
                <w:div w:id="527568489">
                  <w:marLeft w:val="0"/>
                  <w:marRight w:val="0"/>
                  <w:marTop w:val="0"/>
                  <w:marBottom w:val="0"/>
                  <w:divBdr>
                    <w:top w:val="none" w:sz="0" w:space="0" w:color="auto"/>
                    <w:left w:val="none" w:sz="0" w:space="0" w:color="auto"/>
                    <w:bottom w:val="none" w:sz="0" w:space="0" w:color="auto"/>
                    <w:right w:val="none" w:sz="0" w:space="0" w:color="auto"/>
                  </w:divBdr>
                  <w:divsChild>
                    <w:div w:id="63183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jpe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jpeg"/><Relationship Id="rId31" Type="http://schemas.openxmlformats.org/officeDocument/2006/relationships/image" Target="media/image27.png"/><Relationship Id="rId44" Type="http://schemas.openxmlformats.org/officeDocument/2006/relationships/image" Target="media/image40.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fontTable" Target="fontTable.xml"/><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20" Type="http://schemas.openxmlformats.org/officeDocument/2006/relationships/image" Target="media/image16.png"/><Relationship Id="rId41" Type="http://schemas.openxmlformats.org/officeDocument/2006/relationships/image" Target="media/image37.png"/><Relationship Id="rId1" Type="http://schemas.openxmlformats.org/officeDocument/2006/relationships/numbering" Target="numbering.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54</Pages>
  <Words>18830</Words>
  <Characters>107332</Characters>
  <Application>Microsoft Office Word</Application>
  <DocSecurity>0</DocSecurity>
  <Lines>894</Lines>
  <Paragraphs>251</Paragraphs>
  <ScaleCrop>false</ScaleCrop>
  <Company/>
  <LinksUpToDate>false</LinksUpToDate>
  <CharactersWithSpaces>125911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Danait.Perez001</dc:creator>
  <cp:keywords/>
  <dc:description/>
  <cp:lastModifiedBy>Danait.Perez001</cp:lastModifiedBy>
  <cp:revision>1</cp:revision>
  <dcterms:created xsi:type="dcterms:W3CDTF">2020-09-08T22:49:00Z</dcterms:created>
  <dcterms:modified xsi:type="dcterms:W3CDTF">2020-09-08T22:51:00Z</dcterms:modified>
</cp:coreProperties>
</file>