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32ka2658164m" w:id="0"/>
      <w:bookmarkEnd w:id="0"/>
      <w:r w:rsidDel="00000000" w:rsidR="00000000" w:rsidRPr="00000000">
        <w:rPr>
          <w:sz w:val="66"/>
          <w:szCs w:val="66"/>
          <w:rtl w:val="0"/>
        </w:rPr>
        <w:t xml:space="preserve">Resources: Health Education</w:t>
      </w:r>
    </w:p>
    <w:p w:rsidR="00000000" w:rsidDel="00000000" w:rsidP="00000000" w:rsidRDefault="00000000" w:rsidRPr="00000000" w14:paraId="00000002">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3">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26"/>
          <w:szCs w:val="26"/>
          <w:rtl w:val="0"/>
        </w:rPr>
        <w:t xml:space="preserve">The following resources address the expanding role of the nurse in community and public health as an educator as communities become more diverse with more complex health issues, and financial constraints grow. These resources also provide insight into why interprofessional collaboration is even more important in achieving social justice and equitable access to services to promote health and prevent disease in individuals, families, and aggregates in culturally diverse communities.</w:t>
      </w:r>
    </w:p>
    <w:p w:rsidR="00000000" w:rsidDel="00000000" w:rsidP="00000000" w:rsidRDefault="00000000" w:rsidRPr="00000000" w14:paraId="00000004">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Flanders, S. A. (2018). </w:t>
      </w:r>
      <w:hyperlink r:id="rId6">
        <w:r w:rsidDel="00000000" w:rsidR="00000000" w:rsidRPr="00000000">
          <w:rPr>
            <w:color w:val="0f6da8"/>
            <w:sz w:val="26"/>
            <w:szCs w:val="26"/>
            <w:u w:val="single"/>
            <w:rtl w:val="0"/>
          </w:rPr>
          <w:t xml:space="preserve">Effective patient education: Evidence and common sense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Medsurg Nursing, 27</w:t>
      </w:r>
      <w:r w:rsidDel="00000000" w:rsidR="00000000" w:rsidRPr="00000000">
        <w:rPr>
          <w:color w:val="222222"/>
          <w:sz w:val="26"/>
          <w:szCs w:val="26"/>
          <w:rtl w:val="0"/>
        </w:rPr>
        <w:t xml:space="preserve">(1), 55–58.</w:t>
      </w:r>
    </w:p>
    <w:p w:rsidR="00000000" w:rsidDel="00000000" w:rsidP="00000000" w:rsidRDefault="00000000" w:rsidRPr="00000000" w14:paraId="00000005">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Loan, L. A., Parnell, T. A., Stichler, J. F., Boyle, D. K., Allen, P., VanFosson, C. A., &amp; Barton, A. J. (2018), </w:t>
      </w:r>
      <w:hyperlink r:id="rId7">
        <w:r w:rsidDel="00000000" w:rsidR="00000000" w:rsidRPr="00000000">
          <w:rPr>
            <w:color w:val="0f6da8"/>
            <w:sz w:val="26"/>
            <w:szCs w:val="26"/>
            <w:u w:val="single"/>
            <w:rtl w:val="0"/>
          </w:rPr>
          <w:t xml:space="preserve">Call for action: Nurses must play a critical role to enhance health literacy</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Nursing Outlook, 66</w:t>
      </w:r>
      <w:r w:rsidDel="00000000" w:rsidR="00000000" w:rsidRPr="00000000">
        <w:rPr>
          <w:color w:val="222222"/>
          <w:sz w:val="26"/>
          <w:szCs w:val="26"/>
          <w:rtl w:val="0"/>
        </w:rPr>
        <w:t xml:space="preserve">(1), 97–100.</w:t>
      </w:r>
    </w:p>
    <w:p w:rsidR="00000000" w:rsidDel="00000000" w:rsidP="00000000" w:rsidRDefault="00000000" w:rsidRPr="00000000" w14:paraId="00000006">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Ritchie, U. C., Turner, S. C., &amp; Field, C. (2017). </w:t>
      </w:r>
      <w:hyperlink r:id="rId8">
        <w:r w:rsidDel="00000000" w:rsidR="00000000" w:rsidRPr="00000000">
          <w:rPr>
            <w:color w:val="0f6da8"/>
            <w:sz w:val="26"/>
            <w:szCs w:val="26"/>
            <w:u w:val="single"/>
            <w:rtl w:val="0"/>
          </w:rPr>
          <w:t xml:space="preserve">Development and utility of a medication self-assessment tool for community-based healthcare services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Journal of Pharmacy Practice &amp; Research, 47</w:t>
      </w:r>
      <w:r w:rsidDel="00000000" w:rsidR="00000000" w:rsidRPr="00000000">
        <w:rPr>
          <w:color w:val="222222"/>
          <w:sz w:val="26"/>
          <w:szCs w:val="26"/>
          <w:rtl w:val="0"/>
        </w:rPr>
        <w:t xml:space="preserve">(2), 140–146.</w:t>
      </w:r>
    </w:p>
    <w:p w:rsidR="00000000" w:rsidDel="00000000" w:rsidP="00000000" w:rsidRDefault="00000000" w:rsidRPr="00000000" w14:paraId="00000007">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U.S. Department of Health and Human Services, Office of Disease Prevention and Health Promotion. (n.d.). </w:t>
      </w:r>
      <w:hyperlink r:id="rId9">
        <w:r w:rsidDel="00000000" w:rsidR="00000000" w:rsidRPr="00000000">
          <w:rPr>
            <w:color w:val="0f6da8"/>
            <w:sz w:val="26"/>
            <w:szCs w:val="26"/>
            <w:u w:val="single"/>
            <w:rtl w:val="0"/>
          </w:rPr>
          <w:t xml:space="preserve">Healthy People 2020</w:t>
        </w:r>
      </w:hyperlink>
      <w:r w:rsidDel="00000000" w:rsidR="00000000" w:rsidRPr="00000000">
        <w:rPr>
          <w:color w:val="222222"/>
          <w:sz w:val="26"/>
          <w:szCs w:val="26"/>
          <w:rtl w:val="0"/>
        </w:rPr>
        <w:t xml:space="preserve">. Retrieved from https://www.healthypeople.gov/</w:t>
      </w:r>
    </w:p>
    <w:p w:rsidR="00000000" w:rsidDel="00000000" w:rsidP="00000000" w:rsidRDefault="00000000" w:rsidRPr="00000000" w14:paraId="00000008">
      <w:pPr>
        <w:numPr>
          <w:ilvl w:val="1"/>
          <w:numId w:val="3"/>
        </w:numPr>
        <w:pBdr>
          <w:top w:color="auto" w:space="0" w:sz="0" w:val="none"/>
          <w:bottom w:color="auto" w:space="0" w:sz="0" w:val="none"/>
          <w:right w:color="auto" w:space="0" w:sz="0" w:val="none"/>
          <w:between w:color="auto" w:space="0" w:sz="0" w:val="none"/>
        </w:pBdr>
        <w:spacing w:after="780" w:before="0" w:lineRule="auto"/>
        <w:ind w:left="1440" w:right="4360" w:hanging="360"/>
      </w:pPr>
      <w:r w:rsidDel="00000000" w:rsidR="00000000" w:rsidRPr="00000000">
        <w:rPr>
          <w:color w:val="222222"/>
          <w:sz w:val="26"/>
          <w:szCs w:val="26"/>
          <w:rtl w:val="0"/>
        </w:rPr>
        <w:t xml:space="preserve">World Health Organization. (n.d.). </w:t>
      </w:r>
      <w:hyperlink r:id="rId10">
        <w:r w:rsidDel="00000000" w:rsidR="00000000" w:rsidRPr="00000000">
          <w:rPr>
            <w:color w:val="0f6da8"/>
            <w:sz w:val="26"/>
            <w:szCs w:val="26"/>
            <w:u w:val="single"/>
            <w:rtl w:val="0"/>
          </w:rPr>
          <w:t xml:space="preserve">Health education</w:t>
        </w:r>
      </w:hyperlink>
      <w:r w:rsidDel="00000000" w:rsidR="00000000" w:rsidRPr="00000000">
        <w:rPr>
          <w:color w:val="222222"/>
          <w:sz w:val="26"/>
          <w:szCs w:val="26"/>
          <w:rtl w:val="0"/>
        </w:rPr>
        <w:t xml:space="preserve">. Retrieved from http://www.who.int/topics/health_education/en/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300" w:before="220" w:line="333.6585365853658" w:lineRule="auto"/>
        <w:rPr>
          <w:color w:val="222222"/>
          <w:sz w:val="41"/>
          <w:szCs w:val="41"/>
        </w:rPr>
      </w:pPr>
      <w:bookmarkStart w:colFirst="0" w:colLast="0" w:name="_vn3x4dcchxp2" w:id="1"/>
      <w:bookmarkEnd w:id="1"/>
      <w:r w:rsidDel="00000000" w:rsidR="00000000" w:rsidRPr="00000000">
        <w:rPr>
          <w:color w:val="222222"/>
          <w:sz w:val="41"/>
          <w:szCs w:val="41"/>
          <w:rtl w:val="0"/>
        </w:rPr>
        <w:t xml:space="preserve">Presentations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60" w:lineRule="auto"/>
        <w:rPr>
          <w:color w:val="222222"/>
          <w:sz w:val="26"/>
          <w:szCs w:val="26"/>
        </w:rPr>
      </w:pPr>
      <w:r w:rsidDel="00000000" w:rsidR="00000000" w:rsidRPr="00000000">
        <w:rPr>
          <w:color w:val="222222"/>
          <w:sz w:val="26"/>
          <w:szCs w:val="26"/>
          <w:rtl w:val="0"/>
        </w:rPr>
        <w:t xml:space="preserve">The following resources will help you create and deliver an effective presentation.</w:t>
      </w:r>
    </w:p>
    <w:p w:rsidR="00000000" w:rsidDel="00000000" w:rsidP="00000000" w:rsidRDefault="00000000" w:rsidRPr="00000000" w14:paraId="00000010">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hyperlink r:id="rId11">
        <w:r w:rsidDel="00000000" w:rsidR="00000000" w:rsidRPr="00000000">
          <w:rPr>
            <w:color w:val="0f6da8"/>
            <w:sz w:val="26"/>
            <w:szCs w:val="26"/>
            <w:u w:val="single"/>
            <w:rtl w:val="0"/>
          </w:rPr>
          <w:t xml:space="preserve">Conquering Death by PowerPoint: The Seven Rules of Proper Visual Design</w:t>
        </w:r>
      </w:hyperlink>
      <w:r w:rsidDel="00000000" w:rsidR="00000000" w:rsidRPr="00000000">
        <w:rPr>
          <w:color w:val="222222"/>
          <w:sz w:val="26"/>
          <w:szCs w:val="26"/>
          <w:rtl w:val="0"/>
        </w:rPr>
        <w:t xml:space="preserve">. </w:t>
      </w:r>
    </w:p>
    <w:p w:rsidR="00000000" w:rsidDel="00000000" w:rsidP="00000000" w:rsidRDefault="00000000" w:rsidRPr="00000000" w14:paraId="00000011">
      <w:pPr>
        <w:numPr>
          <w:ilvl w:val="1"/>
          <w:numId w:val="2"/>
        </w:numPr>
        <w:pBdr>
          <w:top w:color="auto" w:space="0" w:sz="0" w:val="none"/>
          <w:bottom w:color="auto" w:space="0" w:sz="0" w:val="none"/>
          <w:right w:color="auto" w:space="0" w:sz="0" w:val="none"/>
          <w:between w:color="auto" w:space="0" w:sz="0" w:val="none"/>
        </w:pBdr>
        <w:spacing w:after="0" w:afterAutospacing="0" w:lineRule="auto"/>
        <w:ind w:left="1440" w:hanging="360"/>
      </w:pPr>
      <w:r w:rsidDel="00000000" w:rsidR="00000000" w:rsidRPr="00000000">
        <w:rPr>
          <w:color w:val="222222"/>
          <w:sz w:val="26"/>
          <w:szCs w:val="26"/>
          <w:rtl w:val="0"/>
        </w:rPr>
        <w:t xml:space="preserve">A video primer on presentation design.</w:t>
      </w:r>
    </w:p>
    <w:p w:rsidR="00000000" w:rsidDel="00000000" w:rsidP="00000000" w:rsidRDefault="00000000" w:rsidRPr="00000000" w14:paraId="00000012">
      <w:pPr>
        <w:numPr>
          <w:ilvl w:val="1"/>
          <w:numId w:val="2"/>
        </w:numPr>
        <w:pBdr>
          <w:top w:color="auto" w:space="0" w:sz="0" w:val="none"/>
          <w:bottom w:color="auto" w:space="0" w:sz="0" w:val="none"/>
          <w:right w:color="auto" w:space="0" w:sz="0" w:val="none"/>
          <w:between w:color="auto" w:space="0" w:sz="0" w:val="none"/>
        </w:pBdr>
        <w:spacing w:after="0" w:afterAutospacing="0" w:lineRule="auto"/>
        <w:ind w:left="1440" w:hanging="360"/>
      </w:pPr>
      <w:r w:rsidDel="00000000" w:rsidR="00000000" w:rsidRPr="00000000">
        <w:rPr>
          <w:color w:val="222222"/>
          <w:sz w:val="26"/>
          <w:szCs w:val="26"/>
          <w:rtl w:val="0"/>
        </w:rPr>
        <w:t xml:space="preserve">Approximate run time: 45:00.</w:t>
      </w:r>
    </w:p>
    <w:p w:rsidR="00000000" w:rsidDel="00000000" w:rsidP="00000000" w:rsidRDefault="00000000" w:rsidRPr="00000000" w14:paraId="00000013">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hyperlink r:id="rId12">
        <w:r w:rsidDel="00000000" w:rsidR="00000000" w:rsidRPr="00000000">
          <w:rPr>
            <w:color w:val="0f6da8"/>
            <w:sz w:val="26"/>
            <w:szCs w:val="26"/>
            <w:u w:val="single"/>
            <w:rtl w:val="0"/>
          </w:rPr>
          <w:t xml:space="preserve">Creating a Presentation: A Guide to Writing and Speaking</w:t>
        </w:r>
      </w:hyperlink>
      <w:r w:rsidDel="00000000" w:rsidR="00000000" w:rsidRPr="00000000">
        <w:rPr>
          <w:color w:val="222222"/>
          <w:sz w:val="26"/>
          <w:szCs w:val="26"/>
          <w:rtl w:val="0"/>
        </w:rPr>
        <w:t xml:space="preserve">. </w:t>
      </w:r>
    </w:p>
    <w:p w:rsidR="00000000" w:rsidDel="00000000" w:rsidP="00000000" w:rsidRDefault="00000000" w:rsidRPr="00000000" w14:paraId="00000014">
      <w:pPr>
        <w:numPr>
          <w:ilvl w:val="1"/>
          <w:numId w:val="2"/>
        </w:numPr>
        <w:pBdr>
          <w:top w:color="auto" w:space="0" w:sz="0" w:val="none"/>
          <w:bottom w:color="auto" w:space="0" w:sz="0" w:val="none"/>
          <w:right w:color="auto" w:space="0" w:sz="0" w:val="none"/>
          <w:between w:color="auto" w:space="0" w:sz="0" w:val="none"/>
        </w:pBdr>
        <w:spacing w:after="0" w:afterAutospacing="0" w:lineRule="auto"/>
        <w:ind w:left="1440" w:hanging="360"/>
      </w:pPr>
      <w:r w:rsidDel="00000000" w:rsidR="00000000" w:rsidRPr="00000000">
        <w:rPr>
          <w:color w:val="222222"/>
          <w:sz w:val="26"/>
          <w:szCs w:val="26"/>
          <w:rtl w:val="0"/>
        </w:rPr>
        <w:t xml:space="preserve">This video addresses the primary areas involved in creating effective audiovisual presentations. You can return to this resource throughout the process of creating your presentation to view the tutorial appropriate for you at each stage.</w:t>
      </w:r>
    </w:p>
    <w:p w:rsidR="00000000" w:rsidDel="00000000" w:rsidP="00000000" w:rsidRDefault="00000000" w:rsidRPr="00000000" w14:paraId="00000015">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color w:val="222222"/>
          <w:sz w:val="26"/>
          <w:szCs w:val="26"/>
          <w:rtl w:val="0"/>
        </w:rPr>
        <w:t xml:space="preserve">Medina, M. S., &amp; Avant, N. D. (2015). </w:t>
      </w:r>
      <w:hyperlink r:id="rId13">
        <w:r w:rsidDel="00000000" w:rsidR="00000000" w:rsidRPr="00000000">
          <w:rPr>
            <w:color w:val="0f6da8"/>
            <w:sz w:val="26"/>
            <w:szCs w:val="26"/>
            <w:u w:val="single"/>
            <w:rtl w:val="0"/>
          </w:rPr>
          <w:t xml:space="preserve">Delivering an effective presentation</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American Journal of Health-System Pharmacy, 72</w:t>
      </w:r>
      <w:r w:rsidDel="00000000" w:rsidR="00000000" w:rsidRPr="00000000">
        <w:rPr>
          <w:color w:val="222222"/>
          <w:sz w:val="26"/>
          <w:szCs w:val="26"/>
          <w:rtl w:val="0"/>
        </w:rPr>
        <w:t xml:space="preserve">(13), 1091–1094.</w:t>
      </w:r>
    </w:p>
    <w:p w:rsidR="00000000" w:rsidDel="00000000" w:rsidP="00000000" w:rsidRDefault="00000000" w:rsidRPr="00000000" w14:paraId="00000016">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color w:val="222222"/>
          <w:sz w:val="26"/>
          <w:szCs w:val="26"/>
          <w:rtl w:val="0"/>
        </w:rPr>
        <w:t xml:space="preserve">Microsoft. (2016). </w:t>
      </w:r>
      <w:hyperlink r:id="rId14">
        <w:r w:rsidDel="00000000" w:rsidR="00000000" w:rsidRPr="00000000">
          <w:rPr>
            <w:color w:val="0f6da8"/>
            <w:sz w:val="26"/>
            <w:szCs w:val="26"/>
            <w:u w:val="single"/>
            <w:rtl w:val="0"/>
          </w:rPr>
          <w:t xml:space="preserve">Record a Slide Show With Narration and Slide Timings</w:t>
        </w:r>
      </w:hyperlink>
      <w:r w:rsidDel="00000000" w:rsidR="00000000" w:rsidRPr="00000000">
        <w:rPr>
          <w:color w:val="222222"/>
          <w:sz w:val="26"/>
          <w:szCs w:val="26"/>
          <w:rtl w:val="0"/>
        </w:rPr>
        <w:t xml:space="preserve">. Retrieved from https://support.office.com/en-us/article/Record-a-slide-show-with-narration-and-slide-timings-0b9502c6-5f6c-40ae-b1e7-e47d8741161c?ui=en-US&amp;rs;=en-001&amp;ad;=US</w:t>
      </w:r>
    </w:p>
    <w:p w:rsidR="00000000" w:rsidDel="00000000" w:rsidP="00000000" w:rsidRDefault="00000000" w:rsidRPr="00000000" w14:paraId="00000017">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hyperlink r:id="rId15">
        <w:r w:rsidDel="00000000" w:rsidR="00000000" w:rsidRPr="00000000">
          <w:rPr>
            <w:color w:val="0f6da8"/>
            <w:sz w:val="26"/>
            <w:szCs w:val="26"/>
            <w:u w:val="single"/>
            <w:rtl w:val="0"/>
          </w:rPr>
          <w:t xml:space="preserve">Microsoft Office Software</w:t>
        </w:r>
      </w:hyperlink>
      <w:r w:rsidDel="00000000" w:rsidR="00000000" w:rsidRPr="00000000">
        <w:rPr>
          <w:color w:val="222222"/>
          <w:sz w:val="26"/>
          <w:szCs w:val="26"/>
          <w:rtl w:val="0"/>
        </w:rPr>
        <w:t xml:space="preserve">. </w:t>
      </w:r>
    </w:p>
    <w:p w:rsidR="00000000" w:rsidDel="00000000" w:rsidP="00000000" w:rsidRDefault="00000000" w:rsidRPr="00000000" w14:paraId="00000018">
      <w:pPr>
        <w:numPr>
          <w:ilvl w:val="1"/>
          <w:numId w:val="2"/>
        </w:numPr>
        <w:pBdr>
          <w:top w:color="auto" w:space="0" w:sz="0" w:val="none"/>
          <w:bottom w:color="auto" w:space="0" w:sz="0" w:val="none"/>
          <w:right w:color="auto" w:space="0" w:sz="0" w:val="none"/>
          <w:between w:color="auto" w:space="0" w:sz="0" w:val="none"/>
        </w:pBdr>
        <w:spacing w:after="0" w:afterAutospacing="0" w:lineRule="auto"/>
        <w:ind w:left="1440" w:hanging="360"/>
      </w:pPr>
      <w:r w:rsidDel="00000000" w:rsidR="00000000" w:rsidRPr="00000000">
        <w:rPr>
          <w:color w:val="222222"/>
          <w:sz w:val="26"/>
          <w:szCs w:val="26"/>
          <w:rtl w:val="0"/>
        </w:rPr>
        <w:t xml:space="preserve">This Campus resource includes tip sheets and tutorials for Microsoft PowerPoint.</w:t>
      </w:r>
    </w:p>
    <w:p w:rsidR="00000000" w:rsidDel="00000000" w:rsidP="00000000" w:rsidRDefault="00000000" w:rsidRPr="00000000" w14:paraId="00000019">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hyperlink r:id="rId16">
        <w:r w:rsidDel="00000000" w:rsidR="00000000" w:rsidRPr="00000000">
          <w:rPr>
            <w:color w:val="0f6da8"/>
            <w:sz w:val="26"/>
            <w:szCs w:val="26"/>
            <w:u w:val="single"/>
            <w:rtl w:val="0"/>
          </w:rPr>
          <w:t xml:space="preserve">PowerPoint Presentations Library Guide</w:t>
        </w:r>
      </w:hyperlink>
      <w:r w:rsidDel="00000000" w:rsidR="00000000" w:rsidRPr="00000000">
        <w:rPr>
          <w:color w:val="222222"/>
          <w:sz w:val="26"/>
          <w:szCs w:val="26"/>
          <w:rtl w:val="0"/>
        </w:rPr>
        <w:t xml:space="preserve">. </w:t>
      </w:r>
    </w:p>
    <w:p w:rsidR="00000000" w:rsidDel="00000000" w:rsidP="00000000" w:rsidRDefault="00000000" w:rsidRPr="00000000" w14:paraId="0000001A">
      <w:pPr>
        <w:numPr>
          <w:ilvl w:val="1"/>
          <w:numId w:val="2"/>
        </w:numPr>
        <w:pBdr>
          <w:top w:color="auto" w:space="0" w:sz="0" w:val="none"/>
          <w:bottom w:color="auto" w:space="0" w:sz="0" w:val="none"/>
          <w:right w:color="auto" w:space="0" w:sz="0" w:val="none"/>
          <w:between w:color="auto" w:space="0" w:sz="0" w:val="none"/>
        </w:pBdr>
        <w:spacing w:after="0" w:afterAutospacing="0" w:lineRule="auto"/>
        <w:ind w:left="1440" w:hanging="360"/>
      </w:pPr>
      <w:r w:rsidDel="00000000" w:rsidR="00000000" w:rsidRPr="00000000">
        <w:rPr>
          <w:color w:val="222222"/>
          <w:sz w:val="26"/>
          <w:szCs w:val="26"/>
          <w:rtl w:val="0"/>
        </w:rPr>
        <w:t xml:space="preserve">This library guide provides links to PowerPoint and other presentation software resources.</w:t>
      </w:r>
    </w:p>
    <w:p w:rsidR="00000000" w:rsidDel="00000000" w:rsidP="00000000" w:rsidRDefault="00000000" w:rsidRPr="00000000" w14:paraId="0000001B">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hyperlink r:id="rId17">
        <w:r w:rsidDel="00000000" w:rsidR="00000000" w:rsidRPr="00000000">
          <w:rPr>
            <w:color w:val="0f6da8"/>
            <w:sz w:val="26"/>
            <w:szCs w:val="26"/>
            <w:u w:val="single"/>
            <w:rtl w:val="0"/>
          </w:rPr>
          <w:t xml:space="preserve">SoNHS Professional Presentation Guidelines [PPTX]</w:t>
        </w:r>
      </w:hyperlink>
      <w:r w:rsidDel="00000000" w:rsidR="00000000" w:rsidRPr="00000000">
        <w:rPr>
          <w:color w:val="222222"/>
          <w:sz w:val="26"/>
          <w:szCs w:val="26"/>
          <w:rtl w:val="0"/>
        </w:rPr>
        <w:t xml:space="preserve">.</w:t>
      </w:r>
    </w:p>
    <w:p w:rsidR="00000000" w:rsidDel="00000000" w:rsidP="00000000" w:rsidRDefault="00000000" w:rsidRPr="00000000" w14:paraId="0000001C">
      <w:pPr>
        <w:numPr>
          <w:ilvl w:val="0"/>
          <w:numId w:val="2"/>
        </w:numPr>
        <w:pBdr>
          <w:top w:color="auto" w:space="0" w:sz="0" w:val="none"/>
          <w:bottom w:color="auto" w:space="0" w:sz="0" w:val="none"/>
          <w:right w:color="auto" w:space="0" w:sz="0" w:val="none"/>
          <w:between w:color="auto" w:space="0" w:sz="0" w:val="none"/>
        </w:pBdr>
        <w:spacing w:after="480" w:lineRule="auto"/>
        <w:ind w:left="720" w:hanging="360"/>
      </w:pPr>
      <w:r w:rsidDel="00000000" w:rsidR="00000000" w:rsidRPr="00000000">
        <w:rPr>
          <w:color w:val="222222"/>
          <w:sz w:val="26"/>
          <w:szCs w:val="26"/>
          <w:rtl w:val="0"/>
        </w:rPr>
        <w:t xml:space="preserve">Schmaltz, R. M., &amp; Enstrom, R. (2014). </w:t>
      </w:r>
      <w:hyperlink r:id="rId18">
        <w:r w:rsidDel="00000000" w:rsidR="00000000" w:rsidRPr="00000000">
          <w:rPr>
            <w:color w:val="0f6da8"/>
            <w:sz w:val="26"/>
            <w:szCs w:val="26"/>
            <w:u w:val="single"/>
            <w:rtl w:val="0"/>
          </w:rPr>
          <w:t xml:space="preserve">Death to weak PowerPoint: Strategies to create effective visual presentations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Frontiers in Psychology,</w:t>
      </w:r>
      <w:r w:rsidDel="00000000" w:rsidR="00000000" w:rsidRPr="00000000">
        <w:rPr>
          <w:color w:val="222222"/>
          <w:sz w:val="26"/>
          <w:szCs w:val="26"/>
          <w:rtl w:val="0"/>
        </w:rPr>
        <w:t xml:space="preserve"> 5. 1–4. Retrieved from https://www.frontiersin.org/articles/10.3389/fpsyg.2014.01138/full</w:t>
      </w:r>
    </w:p>
    <w:p w:rsidR="00000000" w:rsidDel="00000000" w:rsidP="00000000" w:rsidRDefault="00000000" w:rsidRPr="00000000" w14:paraId="0000001D">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300" w:before="220" w:line="333.6585365853658" w:lineRule="auto"/>
        <w:rPr>
          <w:color w:val="222222"/>
          <w:sz w:val="41"/>
          <w:szCs w:val="41"/>
        </w:rPr>
      </w:pPr>
      <w:bookmarkStart w:colFirst="0" w:colLast="0" w:name="_r3u4m25cuq09" w:id="2"/>
      <w:bookmarkEnd w:id="2"/>
      <w:r w:rsidDel="00000000" w:rsidR="00000000" w:rsidRPr="00000000">
        <w:rPr>
          <w:color w:val="222222"/>
          <w:sz w:val="41"/>
          <w:szCs w:val="41"/>
          <w:rtl w:val="0"/>
        </w:rPr>
        <w:t xml:space="preserve">Scholarly Writing and APA Style</w:t>
      </w:r>
    </w:p>
    <w:p w:rsidR="00000000" w:rsidDel="00000000" w:rsidP="00000000" w:rsidRDefault="00000000" w:rsidRPr="00000000" w14:paraId="0000001E">
      <w:pPr>
        <w:pStyle w:val="Heading1"/>
        <w:keepNext w:val="0"/>
        <w:keepLines w:val="0"/>
        <w:spacing w:after="160" w:before="60" w:line="264" w:lineRule="auto"/>
        <w:rPr>
          <w:color w:val="ffffff"/>
          <w:sz w:val="48"/>
          <w:szCs w:val="48"/>
          <w:shd w:fill="1a1712" w:val="clear"/>
        </w:rPr>
      </w:pPr>
      <w:bookmarkStart w:colFirst="0" w:colLast="0" w:name="_owdz9be2ni7g" w:id="3"/>
      <w:bookmarkEnd w:id="3"/>
      <w:r w:rsidDel="00000000" w:rsidR="00000000" w:rsidRPr="00000000">
        <w:rPr>
          <w:color w:val="ffffff"/>
          <w:sz w:val="48"/>
          <w:szCs w:val="48"/>
          <w:shd w:fill="1a1712" w:val="clear"/>
          <w:rtl w:val="0"/>
        </w:rPr>
        <w:t xml:space="preserve">Conducting an Effective Educational Session</w:t>
      </w:r>
    </w:p>
    <w:p w:rsidR="00000000" w:rsidDel="00000000" w:rsidP="00000000" w:rsidRDefault="00000000" w:rsidRPr="00000000" w14:paraId="0000001F">
      <w:pPr>
        <w:jc w:val="right"/>
        <w:rPr>
          <w:color w:val="ffffff"/>
          <w:sz w:val="48"/>
          <w:szCs w:val="48"/>
          <w:shd w:fill="1a1712" w:val="clear"/>
        </w:rPr>
      </w:pPr>
      <w:r w:rsidDel="00000000" w:rsidR="00000000" w:rsidRPr="00000000">
        <w:rPr>
          <w:color w:val="ffffff"/>
          <w:sz w:val="48"/>
          <w:szCs w:val="48"/>
          <w:shd w:fill="1a1712" w:val="clear"/>
        </w:rPr>
        <w:drawing>
          <wp:inline distB="114300" distT="114300" distL="114300" distR="114300">
            <wp:extent cx="635000" cy="635000"/>
            <wp:effectExtent b="0" l="0" r="0" t="0"/>
            <wp:docPr descr="Capella Logo" id="1" name="image1.png"/>
            <a:graphic>
              <a:graphicData uri="http://schemas.openxmlformats.org/drawingml/2006/picture">
                <pic:pic>
                  <pic:nvPicPr>
                    <pic:cNvPr descr="Capella Logo" id="0" name="image1.png"/>
                    <pic:cNvPicPr preferRelativeResize="0"/>
                  </pic:nvPicPr>
                  <pic:blipFill>
                    <a:blip r:embed="rId19"/>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hd w:fill="ffffff" w:val="clear"/>
        <w:spacing w:after="300" w:lineRule="auto"/>
        <w:rPr>
          <w:color w:val="ffffff"/>
          <w:sz w:val="48"/>
          <w:szCs w:val="48"/>
          <w:shd w:fill="1a1712" w:val="clear"/>
        </w:rPr>
      </w:pPr>
      <w:r w:rsidDel="00000000" w:rsidR="00000000" w:rsidRPr="00000000">
        <w:rPr>
          <w:color w:val="ffffff"/>
          <w:sz w:val="48"/>
          <w:szCs w:val="48"/>
          <w:shd w:fill="1a1712" w:val="clear"/>
        </w:rPr>
        <w:drawing>
          <wp:inline distB="114300" distT="114300" distL="114300" distR="114300">
            <wp:extent cx="1905000" cy="447675"/>
            <wp:effectExtent b="0" l="0" r="0" t="0"/>
            <wp:docPr id="3"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190500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hd w:fill="ffffff" w:val="clear"/>
        <w:spacing w:after="300" w:lineRule="auto"/>
        <w:rPr>
          <w:color w:val="ffffff"/>
          <w:sz w:val="48"/>
          <w:szCs w:val="48"/>
          <w:shd w:fill="1a1712" w:val="clear"/>
        </w:rPr>
      </w:pPr>
      <w:r w:rsidDel="00000000" w:rsidR="00000000" w:rsidRPr="00000000">
        <w:rPr>
          <w:color w:val="ffffff"/>
          <w:sz w:val="48"/>
          <w:szCs w:val="48"/>
          <w:shd w:fill="1a1712" w:val="clear"/>
        </w:rPr>
        <w:drawing>
          <wp:inline distB="114300" distT="114300" distL="114300" distR="114300">
            <wp:extent cx="5943600" cy="1841500"/>
            <wp:effectExtent b="0" l="0" r="0" t="0"/>
            <wp:docPr id="2"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943600" cy="18415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spacing w:after="160" w:lineRule="auto"/>
        <w:rPr/>
      </w:pPr>
      <w:r w:rsidDel="00000000" w:rsidR="00000000" w:rsidRPr="00000000">
        <w:rPr>
          <w:rtl w:val="0"/>
        </w:rPr>
        <w:t xml:space="preserve">You are visiting a local community center to support your friend and fellow nurse on his first day at work. The center is the first in the area dedicated to the homeless—primarily Latino—population in the neighborhood, who speak English as a second language. The community started a community garden to help combat food insecurity in the area.</w:t>
      </w:r>
    </w:p>
    <w:p w:rsidR="00000000" w:rsidDel="00000000" w:rsidP="00000000" w:rsidRDefault="00000000" w:rsidRPr="00000000" w14:paraId="00000025">
      <w:pPr>
        <w:spacing w:after="160" w:lineRule="auto"/>
        <w:rPr/>
      </w:pPr>
      <w:r w:rsidDel="00000000" w:rsidR="00000000" w:rsidRPr="00000000">
        <w:rPr>
          <w:rtl w:val="0"/>
        </w:rPr>
        <w:t xml:space="preserve">John takes you on a tour of the facility. He is excited to have you listen to an educational session presented by June. The goal of this session is to teach the participants how to prepare healthy foods using the vegetables from the garden. A local co-op donated beef, a protein source.</w:t>
      </w:r>
    </w:p>
    <w:p w:rsidR="00000000" w:rsidDel="00000000" w:rsidP="00000000" w:rsidRDefault="00000000" w:rsidRPr="00000000" w14:paraId="00000026">
      <w:pPr>
        <w:spacing w:after="160" w:lineRule="auto"/>
        <w:rPr/>
      </w:pPr>
      <w:r w:rsidDel="00000000" w:rsidR="00000000" w:rsidRPr="00000000">
        <w:rPr>
          <w:rtl w:val="0"/>
        </w:rPr>
        <w:t xml:space="preserve">As June spoke with the participants about what constitutes a balanced meal, she cleans the potatoes and carrots. She explains to them in English that the skins provide nutrients, so they should not be peeled. As she continued with her lesson, you overheard some participants saying in Spanish that “Only pigs eat vegetable skins. She is trying to feed us slop! She thinks that we are pigs. We don’t eat slop!” Many participants refused to eat the stew and left shaking their heads. A few who remained told her that they had no access to a stove, because they were living on the streets.</w:t>
      </w:r>
    </w:p>
    <w:p w:rsidR="00000000" w:rsidDel="00000000" w:rsidP="00000000" w:rsidRDefault="00000000" w:rsidRPr="00000000" w14:paraId="00000027">
      <w:pPr>
        <w:spacing w:after="160" w:lineRule="auto"/>
        <w:rPr/>
      </w:pPr>
      <w:r w:rsidDel="00000000" w:rsidR="00000000" w:rsidRPr="00000000">
        <w:rPr>
          <w:rtl w:val="0"/>
        </w:rPr>
        <w:t xml:space="preserve">Answer the following questions based on this scenario:</w:t>
      </w:r>
    </w:p>
    <w:p w:rsidR="00000000" w:rsidDel="00000000" w:rsidP="00000000" w:rsidRDefault="00000000" w:rsidRPr="00000000" w14:paraId="00000028">
      <w:pPr>
        <w:rPr>
          <w:b w:val="1"/>
          <w:color w:val="0f6da8"/>
          <w:sz w:val="23"/>
          <w:szCs w:val="23"/>
        </w:rPr>
      </w:pPr>
      <w:r w:rsidDel="00000000" w:rsidR="00000000" w:rsidRPr="00000000">
        <w:rPr>
          <w:b w:val="1"/>
          <w:color w:val="0f6da8"/>
          <w:sz w:val="23"/>
          <w:szCs w:val="23"/>
          <w:rtl w:val="0"/>
        </w:rPr>
        <w:t xml:space="preserve">Question 1 of 2</w:t>
      </w:r>
    </w:p>
    <w:p w:rsidR="00000000" w:rsidDel="00000000" w:rsidP="00000000" w:rsidRDefault="00000000" w:rsidRPr="00000000" w14:paraId="00000029">
      <w:pPr>
        <w:spacing w:after="160" w:lineRule="auto"/>
        <w:rPr>
          <w:sz w:val="30"/>
          <w:szCs w:val="30"/>
        </w:rPr>
      </w:pPr>
      <w:r w:rsidDel="00000000" w:rsidR="00000000" w:rsidRPr="00000000">
        <w:rPr>
          <w:sz w:val="30"/>
          <w:szCs w:val="30"/>
          <w:rtl w:val="0"/>
        </w:rPr>
        <w:t xml:space="preserve">Which Healthy People 2020 health Indicators apply to this situation?</w:t>
      </w:r>
    </w:p>
    <w:p w:rsidR="00000000" w:rsidDel="00000000" w:rsidP="00000000" w:rsidRDefault="00000000" w:rsidRPr="00000000" w14:paraId="0000002A">
      <w:pPr>
        <w:jc w:val="center"/>
        <w:rPr>
          <w:i w:val="1"/>
          <w:sz w:val="21"/>
          <w:szCs w:val="21"/>
        </w:rPr>
      </w:pPr>
      <w:r w:rsidDel="00000000" w:rsidR="00000000" w:rsidRPr="00000000">
        <w:rPr>
          <w:i w:val="1"/>
          <w:sz w:val="21"/>
          <w:szCs w:val="21"/>
          <w:rtl w:val="0"/>
        </w:rPr>
        <w:t xml:space="preserve">Choose ALL answers that apply.</w:t>
      </w:r>
    </w:p>
    <w:p w:rsidR="00000000" w:rsidDel="00000000" w:rsidP="00000000" w:rsidRDefault="00000000" w:rsidRPr="00000000" w14:paraId="0000002B">
      <w:pPr>
        <w:rPr/>
      </w:pPr>
      <w:r w:rsidDel="00000000" w:rsidR="00000000" w:rsidRPr="00000000">
        <w:rPr>
          <w:rtl w:val="0"/>
        </w:rPr>
        <w:t xml:space="preserve">a) Educational and Community-Based Programs</w:t>
      </w:r>
    </w:p>
    <w:p w:rsidR="00000000" w:rsidDel="00000000" w:rsidP="00000000" w:rsidRDefault="00000000" w:rsidRPr="00000000" w14:paraId="0000002C">
      <w:pPr>
        <w:rPr/>
      </w:pPr>
      <w:r w:rsidDel="00000000" w:rsidR="00000000" w:rsidRPr="00000000">
        <w:rPr>
          <w:rtl w:val="0"/>
        </w:rPr>
        <w:t xml:space="preserve">b) Older Adults</w:t>
      </w:r>
    </w:p>
    <w:p w:rsidR="00000000" w:rsidDel="00000000" w:rsidP="00000000" w:rsidRDefault="00000000" w:rsidRPr="00000000" w14:paraId="0000002D">
      <w:pPr>
        <w:rPr/>
      </w:pPr>
      <w:r w:rsidDel="00000000" w:rsidR="00000000" w:rsidRPr="00000000">
        <w:rPr>
          <w:rtl w:val="0"/>
        </w:rPr>
        <w:t xml:space="preserve">c) Substance Abuse</w:t>
      </w:r>
    </w:p>
    <w:p w:rsidR="00000000" w:rsidDel="00000000" w:rsidP="00000000" w:rsidRDefault="00000000" w:rsidRPr="00000000" w14:paraId="0000002E">
      <w:pPr>
        <w:rPr/>
      </w:pPr>
      <w:r w:rsidDel="00000000" w:rsidR="00000000" w:rsidRPr="00000000">
        <w:rPr>
          <w:rtl w:val="0"/>
        </w:rPr>
        <w:t xml:space="preserve">d) Nutrition</w:t>
      </w:r>
    </w:p>
    <w:p w:rsidR="00000000" w:rsidDel="00000000" w:rsidP="00000000" w:rsidRDefault="00000000" w:rsidRPr="00000000" w14:paraId="0000002F">
      <w:pPr>
        <w:rPr/>
      </w:pPr>
      <w:r w:rsidDel="00000000" w:rsidR="00000000" w:rsidRPr="00000000">
        <w:rPr>
          <w:rtl w:val="0"/>
        </w:rPr>
        <w:t xml:space="preserve">e) Oral Health</w:t>
      </w:r>
    </w:p>
    <w:p w:rsidR="00000000" w:rsidDel="00000000" w:rsidP="00000000" w:rsidRDefault="00000000" w:rsidRPr="00000000" w14:paraId="00000030">
      <w:pPr>
        <w:rPr/>
      </w:pPr>
      <w:r w:rsidDel="00000000" w:rsidR="00000000" w:rsidRPr="00000000">
        <w:rPr>
          <w:rtl w:val="0"/>
        </w:rPr>
        <w:t xml:space="preserve">f) Obesity</w:t>
      </w:r>
    </w:p>
    <w:p w:rsidR="00000000" w:rsidDel="00000000" w:rsidP="00000000" w:rsidRDefault="00000000" w:rsidRPr="00000000" w14:paraId="00000031">
      <w:pPr>
        <w:rPr/>
      </w:pPr>
      <w:r w:rsidDel="00000000" w:rsidR="00000000" w:rsidRPr="00000000">
        <w:rPr>
          <w:rtl w:val="0"/>
        </w:rPr>
        <w:t xml:space="preserve">g) Sexual Health</w:t>
      </w:r>
    </w:p>
    <w:p w:rsidR="00000000" w:rsidDel="00000000" w:rsidP="00000000" w:rsidRDefault="00000000" w:rsidRPr="00000000" w14:paraId="00000032">
      <w:pPr>
        <w:rPr>
          <w:b w:val="1"/>
          <w:color w:val="0f6da8"/>
          <w:sz w:val="23"/>
          <w:szCs w:val="23"/>
        </w:rPr>
      </w:pPr>
      <w:r w:rsidDel="00000000" w:rsidR="00000000" w:rsidRPr="00000000">
        <w:rPr>
          <w:b w:val="1"/>
          <w:color w:val="0f6da8"/>
          <w:sz w:val="23"/>
          <w:szCs w:val="23"/>
          <w:rtl w:val="0"/>
        </w:rPr>
        <w:t xml:space="preserve">Question 2 of 2</w:t>
      </w:r>
    </w:p>
    <w:p w:rsidR="00000000" w:rsidDel="00000000" w:rsidP="00000000" w:rsidRDefault="00000000" w:rsidRPr="00000000" w14:paraId="00000033">
      <w:pPr>
        <w:rPr/>
      </w:pPr>
      <w:r w:rsidDel="00000000" w:rsidR="00000000" w:rsidRPr="00000000">
        <w:rPr>
          <w:rtl w:val="0"/>
        </w:rPr>
        <w:t xml:space="preserve">How might this session have been improved?</w:t>
      </w:r>
    </w:p>
    <w:p w:rsidR="00000000" w:rsidDel="00000000" w:rsidP="00000000" w:rsidRDefault="00000000" w:rsidRPr="00000000" w14:paraId="00000034">
      <w:pPr>
        <w:ind w:left="40" w:right="40" w:firstLine="0"/>
        <w:rPr>
          <w:color w:val="443f3b"/>
          <w:sz w:val="24"/>
          <w:szCs w:val="24"/>
          <w:shd w:fill="f5f5f5" w:val="clear"/>
        </w:rPr>
      </w:pPr>
      <w:r w:rsidDel="00000000" w:rsidR="00000000" w:rsidRPr="00000000">
        <w:rPr>
          <w:color w:val="443f3b"/>
          <w:sz w:val="24"/>
          <w:szCs w:val="24"/>
          <w:shd w:fill="f5f5f5" w:val="clear"/>
          <w:rtl w:val="0"/>
        </w:rPr>
        <w:t xml:space="preserve">Reset Page</w:t>
      </w:r>
    </w:p>
    <w:p w:rsidR="00000000" w:rsidDel="00000000" w:rsidP="00000000" w:rsidRDefault="00000000" w:rsidRPr="00000000" w14:paraId="00000035">
      <w:pPr>
        <w:ind w:left="40" w:right="40" w:firstLine="0"/>
        <w:rPr>
          <w:color w:val="ffffff"/>
          <w:sz w:val="24"/>
          <w:szCs w:val="24"/>
          <w:shd w:fill="0f6da8" w:val="clear"/>
        </w:rPr>
      </w:pPr>
      <w:r w:rsidDel="00000000" w:rsidR="00000000" w:rsidRPr="00000000">
        <w:rPr>
          <w:color w:val="ffffff"/>
          <w:sz w:val="24"/>
          <w:szCs w:val="24"/>
          <w:shd w:fill="0f6da8" w:val="clear"/>
          <w:rtl w:val="0"/>
        </w:rPr>
        <w:t xml:space="preserve">Submit</w:t>
      </w:r>
    </w:p>
    <w:p w:rsidR="00000000" w:rsidDel="00000000" w:rsidP="00000000" w:rsidRDefault="00000000" w:rsidRPr="00000000" w14:paraId="00000036">
      <w:pPr>
        <w:numPr>
          <w:ilvl w:val="0"/>
          <w:numId w:val="4"/>
        </w:numPr>
        <w:spacing w:after="0" w:afterAutospacing="0" w:before="160" w:line="335.99999999999994" w:lineRule="auto"/>
        <w:ind w:left="720" w:hanging="360"/>
      </w:pPr>
      <w:r w:rsidDel="00000000" w:rsidR="00000000" w:rsidRPr="00000000">
        <w:fldChar w:fldCharType="begin"/>
        <w:instrText xml:space="preserve"> HYPERLINK "http://media.capella.edu/CourseMedia/nurs-fpx4060element16843/wrapper.asp#introModal" </w:instrText>
        <w:fldChar w:fldCharType="separate"/>
      </w:r>
      <w:r w:rsidDel="00000000" w:rsidR="00000000" w:rsidRPr="00000000">
        <w:rPr>
          <w:color w:val="878787"/>
          <w:shd w:fill="1a1712" w:val="clear"/>
          <w:rtl w:val="0"/>
        </w:rPr>
        <w:t xml:space="preserve"> Intro</w:t>
      </w:r>
    </w:p>
    <w:p w:rsidR="00000000" w:rsidDel="00000000" w:rsidP="00000000" w:rsidRDefault="00000000" w:rsidRPr="00000000" w14:paraId="00000037">
      <w:pPr>
        <w:numPr>
          <w:ilvl w:val="0"/>
          <w:numId w:val="1"/>
        </w:numPr>
        <w:spacing w:after="0" w:afterAutospacing="0" w:before="0" w:beforeAutospacing="0" w:line="335.99999999999994" w:lineRule="auto"/>
        <w:ind w:left="720" w:hanging="360"/>
      </w:pPr>
      <w:r w:rsidDel="00000000" w:rsidR="00000000" w:rsidRPr="00000000">
        <w:fldChar w:fldCharType="end"/>
      </w:r>
      <w:r w:rsidDel="00000000" w:rsidR="00000000" w:rsidRPr="00000000">
        <w:fldChar w:fldCharType="begin"/>
        <w:instrText xml:space="preserve"> HYPERLINK "http://media.capella.edu/CourseMedia/nurs-fpx4060element16843/transcript.asp" </w:instrText>
        <w:fldChar w:fldCharType="separate"/>
      </w:r>
      <w:r w:rsidDel="00000000" w:rsidR="00000000" w:rsidRPr="00000000">
        <w:rPr>
          <w:color w:val="878787"/>
          <w:shd w:fill="1a1712" w:val="clear"/>
          <w:rtl w:val="0"/>
        </w:rPr>
        <w:t xml:space="preserve"> Transcript</w:t>
      </w:r>
    </w:p>
    <w:p w:rsidR="00000000" w:rsidDel="00000000" w:rsidP="00000000" w:rsidRDefault="00000000" w:rsidRPr="00000000" w14:paraId="00000038">
      <w:pPr>
        <w:numPr>
          <w:ilvl w:val="0"/>
          <w:numId w:val="1"/>
        </w:numPr>
        <w:spacing w:before="0" w:beforeAutospacing="0" w:line="335.99999999999994" w:lineRule="auto"/>
        <w:ind w:left="720" w:hanging="360"/>
      </w:pPr>
      <w:r w:rsidDel="00000000" w:rsidR="00000000" w:rsidRPr="00000000">
        <w:fldChar w:fldCharType="end"/>
      </w:r>
      <w:r w:rsidDel="00000000" w:rsidR="00000000" w:rsidRPr="00000000">
        <w:rPr>
          <w:color w:val="878787"/>
          <w:shd w:fill="1a1712" w:val="clear"/>
          <w:rtl w:val="0"/>
        </w:rPr>
        <w:t xml:space="preserve"> Was this media helpful?</w:t>
      </w:r>
    </w:p>
    <w:p w:rsidR="00000000" w:rsidDel="00000000" w:rsidP="00000000" w:rsidRDefault="00000000" w:rsidRPr="00000000" w14:paraId="00000039">
      <w:pPr>
        <w:pBdr>
          <w:top w:color="auto" w:space="7" w:sz="0" w:val="none"/>
          <w:left w:color="auto" w:space="7" w:sz="0" w:val="none"/>
          <w:bottom w:color="auto" w:space="7" w:sz="0" w:val="none"/>
          <w:right w:color="auto" w:space="7" w:sz="0" w:val="none"/>
          <w:between w:color="auto" w:space="7" w:sz="0" w:val="none"/>
        </w:pBdr>
        <w:jc w:val="right"/>
        <w:rPr>
          <w:color w:val="878787"/>
          <w:shd w:fill="1a1712" w:val="clear"/>
        </w:rPr>
      </w:pPr>
      <w:r w:rsidDel="00000000" w:rsidR="00000000" w:rsidRPr="00000000">
        <w:rPr>
          <w:color w:val="878787"/>
          <w:shd w:fill="1a1712" w:val="clear"/>
          <w:rtl w:val="0"/>
        </w:rPr>
        <w:t xml:space="preserve">Licensed un</w:t>
      </w:r>
    </w:p>
    <w:p w:rsidR="00000000" w:rsidDel="00000000" w:rsidP="00000000" w:rsidRDefault="00000000" w:rsidRPr="00000000" w14:paraId="0000003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11" Type="http://schemas.openxmlformats.org/officeDocument/2006/relationships/hyperlink" Target="http://media.capella.edu/CourseMedia/PSY9965/conquering/PSY9965_conquering.asp" TargetMode="External"/><Relationship Id="rId10" Type="http://schemas.openxmlformats.org/officeDocument/2006/relationships/hyperlink" Target="http://www.who.int/topics/health_education/en/" TargetMode="External"/><Relationship Id="rId21" Type="http://schemas.openxmlformats.org/officeDocument/2006/relationships/image" Target="media/image3.png"/><Relationship Id="rId13" Type="http://schemas.openxmlformats.org/officeDocument/2006/relationships/hyperlink" Target="http://library.capella.edu/login?url=http://search.ebscohost.com/login.aspx?direct=true&amp;db=ccm&amp;AN=109832344&amp;site=ehost-live&amp;scope=site" TargetMode="External"/><Relationship Id="rId12" Type="http://schemas.openxmlformats.org/officeDocument/2006/relationships/hyperlink" Target="http://media.capella.edu/CourseMedia/BMGT8018/CreatingPresentation/interactive_wrapper.as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ealthypeople.gov/" TargetMode="External"/><Relationship Id="rId15" Type="http://schemas.openxmlformats.org/officeDocument/2006/relationships/hyperlink" Target="https://campustools.capella.edu/redirect.aspx?linkid=2975" TargetMode="External"/><Relationship Id="rId14" Type="http://schemas.openxmlformats.org/officeDocument/2006/relationships/hyperlink" Target="https://support.office.com/en-us/article/Record-a-slide-show-with-narration-ink-and-slide-timings-3dc85001-efab-4f8a-94bf-afdc5b7c1f0b" TargetMode="External"/><Relationship Id="rId17" Type="http://schemas.openxmlformats.org/officeDocument/2006/relationships/hyperlink" Target="https://campustools.capella.edu/redirect.aspx?linkid=4705" TargetMode="External"/><Relationship Id="rId16" Type="http://schemas.openxmlformats.org/officeDocument/2006/relationships/hyperlink" Target="https://capellauniversity.libguides.com/powerpoint" TargetMode="External"/><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hyperlink" Target="http://library.capella.edu/login?url=https://search.proquest.com/docview/2006753584?accountid=27965" TargetMode="External"/><Relationship Id="rId18" Type="http://schemas.openxmlformats.org/officeDocument/2006/relationships/hyperlink" Target="https://www.frontiersin.org/articles/10.3389/fpsyg.2014.01138/full" TargetMode="External"/><Relationship Id="rId7" Type="http://schemas.openxmlformats.org/officeDocument/2006/relationships/hyperlink" Target="https://www-sciencedirect-com.library.capella.edu/science/article/pii/S0029655417306280" TargetMode="External"/><Relationship Id="rId8" Type="http://schemas.openxmlformats.org/officeDocument/2006/relationships/hyperlink" Target="http://library.capella.edu/login?url=http://search.ebscohost.com/login.aspx?direct=true&amp;db=ccm&amp;AN=122538941&amp;site=ehost-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