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73607" w:rsidRDefault="00973607" w:rsidP="00973607">
      <w:pPr>
        <w:spacing w:line="480" w:lineRule="auto"/>
        <w:contextualSpacing/>
        <w:jc w:val="center"/>
        <w:rPr>
          <w:rFonts w:ascii="Times New Roman" w:hAnsi="Times New Roman" w:cs="Times New Roman"/>
          <w:sz w:val="24"/>
          <w:szCs w:val="24"/>
        </w:rPr>
      </w:pPr>
    </w:p>
    <w:p w:rsidR="009429DF" w:rsidRPr="00973607" w:rsidRDefault="00914844" w:rsidP="00973607">
      <w:pPr>
        <w:spacing w:line="480" w:lineRule="auto"/>
        <w:contextualSpacing/>
        <w:jc w:val="center"/>
        <w:rPr>
          <w:rFonts w:ascii="Times New Roman" w:hAnsi="Times New Roman" w:cs="Times New Roman"/>
          <w:sz w:val="24"/>
          <w:szCs w:val="24"/>
        </w:rPr>
      </w:pPr>
      <w:r w:rsidRPr="00973607">
        <w:rPr>
          <w:rFonts w:ascii="Times New Roman" w:hAnsi="Times New Roman" w:cs="Times New Roman"/>
          <w:sz w:val="24"/>
          <w:szCs w:val="24"/>
        </w:rPr>
        <w:t>Criminology Theory</w:t>
      </w:r>
    </w:p>
    <w:p w:rsidR="009478DF" w:rsidRPr="00973607" w:rsidRDefault="00914844" w:rsidP="00973607">
      <w:pPr>
        <w:spacing w:line="480" w:lineRule="auto"/>
        <w:contextualSpacing/>
        <w:jc w:val="center"/>
        <w:rPr>
          <w:rFonts w:ascii="Times New Roman" w:hAnsi="Times New Roman" w:cs="Times New Roman"/>
          <w:sz w:val="24"/>
          <w:szCs w:val="24"/>
        </w:rPr>
      </w:pPr>
      <w:r w:rsidRPr="00973607">
        <w:rPr>
          <w:rFonts w:ascii="Times New Roman" w:hAnsi="Times New Roman" w:cs="Times New Roman"/>
          <w:sz w:val="24"/>
          <w:szCs w:val="24"/>
        </w:rPr>
        <w:t>Name</w:t>
      </w:r>
    </w:p>
    <w:p w:rsidR="009478DF" w:rsidRDefault="00F47D4C" w:rsidP="0097360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F47D4C" w:rsidRDefault="00F47D4C" w:rsidP="0097360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530DE3" w:rsidRDefault="00F47D4C" w:rsidP="00530DE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30DE3" w:rsidRDefault="00530DE3">
      <w:pPr>
        <w:rPr>
          <w:rFonts w:ascii="Times New Roman" w:hAnsi="Times New Roman" w:cs="Times New Roman"/>
          <w:sz w:val="24"/>
          <w:szCs w:val="24"/>
        </w:rPr>
      </w:pPr>
      <w:r>
        <w:rPr>
          <w:rFonts w:ascii="Times New Roman" w:hAnsi="Times New Roman" w:cs="Times New Roman"/>
          <w:sz w:val="24"/>
          <w:szCs w:val="24"/>
        </w:rPr>
        <w:br w:type="page"/>
      </w:r>
    </w:p>
    <w:p w:rsidR="00973607" w:rsidRPr="00973607" w:rsidRDefault="00973607" w:rsidP="00530DE3">
      <w:pPr>
        <w:spacing w:line="480" w:lineRule="auto"/>
        <w:contextualSpacing/>
        <w:jc w:val="center"/>
        <w:rPr>
          <w:rFonts w:ascii="Times New Roman" w:hAnsi="Times New Roman" w:cs="Times New Roman"/>
          <w:sz w:val="24"/>
          <w:szCs w:val="24"/>
        </w:rPr>
      </w:pPr>
      <w:bookmarkStart w:id="0" w:name="_GoBack"/>
      <w:bookmarkEnd w:id="0"/>
      <w:r w:rsidRPr="00973607">
        <w:rPr>
          <w:rFonts w:ascii="Times New Roman" w:hAnsi="Times New Roman" w:cs="Times New Roman"/>
          <w:sz w:val="24"/>
          <w:szCs w:val="24"/>
        </w:rPr>
        <w:lastRenderedPageBreak/>
        <w:t>Criminology Theory</w:t>
      </w:r>
    </w:p>
    <w:p w:rsidR="006310C3" w:rsidRPr="00973607" w:rsidRDefault="00914844" w:rsidP="00670DAF">
      <w:pPr>
        <w:spacing w:line="480" w:lineRule="auto"/>
        <w:contextualSpacing/>
        <w:rPr>
          <w:rFonts w:ascii="Times New Roman" w:hAnsi="Times New Roman" w:cs="Times New Roman"/>
          <w:b/>
          <w:sz w:val="24"/>
          <w:szCs w:val="24"/>
        </w:rPr>
      </w:pPr>
      <w:r w:rsidRPr="00973607">
        <w:rPr>
          <w:rFonts w:ascii="Times New Roman" w:hAnsi="Times New Roman" w:cs="Times New Roman"/>
          <w:b/>
          <w:sz w:val="24"/>
          <w:szCs w:val="24"/>
        </w:rPr>
        <w:t>Introduction</w:t>
      </w:r>
      <w:r w:rsidR="003D6308" w:rsidRPr="00973607">
        <w:rPr>
          <w:rFonts w:ascii="Times New Roman" w:hAnsi="Times New Roman" w:cs="Times New Roman"/>
          <w:b/>
          <w:sz w:val="24"/>
          <w:szCs w:val="24"/>
        </w:rPr>
        <w:t xml:space="preserve">- </w:t>
      </w:r>
      <w:r w:rsidRPr="00973607">
        <w:rPr>
          <w:rFonts w:ascii="Times New Roman" w:hAnsi="Times New Roman" w:cs="Times New Roman"/>
          <w:b/>
          <w:sz w:val="24"/>
          <w:szCs w:val="24"/>
        </w:rPr>
        <w:t>Law Enforcement Officer</w:t>
      </w:r>
    </w:p>
    <w:p w:rsidR="006310C3"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A law enforcement officer is a government employee that is mandated with the prevention, apprehension, investigation, and detention of people that are suspected to have committed criminal offenses and therefore, violate the criminal laws. The officers are given an oversight to all the employees that have been transferred to administrative and supervisory positions and those serving in the pretrial and probation departments. Federal law enforcement officers have similar responsibilities to those of the local police agents. They enforce the law, protect victims and evidence, investigate criminal activities and compile a report to the government prosecutors to testify, and apprehend the suspects in the court of law. However, the federal law enforcement officers handle criminal cases that are more specialized.</w:t>
      </w:r>
    </w:p>
    <w:p w:rsidR="006310C3" w:rsidRPr="00973607" w:rsidRDefault="00914844" w:rsidP="00670DAF">
      <w:pPr>
        <w:spacing w:line="480" w:lineRule="auto"/>
        <w:contextualSpacing/>
        <w:rPr>
          <w:rFonts w:ascii="Times New Roman" w:hAnsi="Times New Roman" w:cs="Times New Roman"/>
          <w:b/>
          <w:sz w:val="24"/>
          <w:szCs w:val="24"/>
        </w:rPr>
      </w:pPr>
      <w:r w:rsidRPr="00973607">
        <w:rPr>
          <w:rFonts w:ascii="Times New Roman" w:hAnsi="Times New Roman" w:cs="Times New Roman"/>
          <w:b/>
          <w:sz w:val="24"/>
          <w:szCs w:val="24"/>
        </w:rPr>
        <w:t>Definition of Differential Association Theory</w:t>
      </w:r>
    </w:p>
    <w:p w:rsidR="004A5A9A"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 xml:space="preserve"> </w:t>
      </w:r>
      <w:r w:rsidR="003D6308" w:rsidRPr="00973607">
        <w:rPr>
          <w:rFonts w:ascii="Times New Roman" w:hAnsi="Times New Roman" w:cs="Times New Roman"/>
          <w:sz w:val="24"/>
          <w:szCs w:val="24"/>
        </w:rPr>
        <w:t>The theory o</w:t>
      </w:r>
      <w:r w:rsidR="00E817DF" w:rsidRPr="00973607">
        <w:rPr>
          <w:rFonts w:ascii="Times New Roman" w:hAnsi="Times New Roman" w:cs="Times New Roman"/>
          <w:sz w:val="24"/>
          <w:szCs w:val="24"/>
        </w:rPr>
        <w:t xml:space="preserve">f differential association disputes the claim that crime is a factor of the inherent inadequacy of the people with low income. It was developed from analysis of the </w:t>
      </w:r>
      <w:r w:rsidR="00C014BB" w:rsidRPr="00973607">
        <w:rPr>
          <w:rFonts w:ascii="Times New Roman" w:hAnsi="Times New Roman" w:cs="Times New Roman"/>
          <w:sz w:val="24"/>
          <w:szCs w:val="24"/>
        </w:rPr>
        <w:t>white-collar</w:t>
      </w:r>
      <w:r w:rsidR="00E817DF" w:rsidRPr="00973607">
        <w:rPr>
          <w:rFonts w:ascii="Times New Roman" w:hAnsi="Times New Roman" w:cs="Times New Roman"/>
          <w:sz w:val="24"/>
          <w:szCs w:val="24"/>
        </w:rPr>
        <w:t xml:space="preserve"> crimes, intelligence and professional theft</w:t>
      </w:r>
      <w:r w:rsidR="00645F2A">
        <w:rPr>
          <w:rFonts w:ascii="Times New Roman" w:hAnsi="Times New Roman" w:cs="Times New Roman"/>
          <w:sz w:val="24"/>
          <w:szCs w:val="24"/>
        </w:rPr>
        <w:t xml:space="preserve"> (Siegel, 2016</w:t>
      </w:r>
      <w:r w:rsidR="003D6308" w:rsidRPr="00973607">
        <w:rPr>
          <w:rFonts w:ascii="Times New Roman" w:hAnsi="Times New Roman" w:cs="Times New Roman"/>
          <w:sz w:val="24"/>
          <w:szCs w:val="24"/>
        </w:rPr>
        <w:t>)</w:t>
      </w:r>
      <w:r w:rsidR="00E817DF" w:rsidRPr="00973607">
        <w:rPr>
          <w:rFonts w:ascii="Times New Roman" w:hAnsi="Times New Roman" w:cs="Times New Roman"/>
          <w:sz w:val="24"/>
          <w:szCs w:val="24"/>
        </w:rPr>
        <w:t xml:space="preserve">. In this theory, crime is considered as a factor in the learning process which has the potential of affecting people from all cultures. The acquisition of behaviors is a process of socialization but not a legal or a political process. Skills and intentions that are necessary to crime are learned as individuals get exposed to attitudes, definitions, pro-crime values and other behaviors that are related to crime. This theory explains that people learn and acquire criminal attitudes during their adolescent. The traits are gained from the immediate environment, which comprises of the family, relatives, and close friends. </w:t>
      </w:r>
      <w:r w:rsidR="006D76C1" w:rsidRPr="00973607">
        <w:rPr>
          <w:rFonts w:ascii="Times New Roman" w:hAnsi="Times New Roman" w:cs="Times New Roman"/>
          <w:sz w:val="24"/>
          <w:szCs w:val="24"/>
        </w:rPr>
        <w:t xml:space="preserve"> A career in crime is then developed when an individual learn</w:t>
      </w:r>
      <w:r w:rsidR="003D6308" w:rsidRPr="00973607">
        <w:rPr>
          <w:rFonts w:ascii="Times New Roman" w:hAnsi="Times New Roman" w:cs="Times New Roman"/>
          <w:sz w:val="24"/>
          <w:szCs w:val="24"/>
        </w:rPr>
        <w:t>s</w:t>
      </w:r>
      <w:r w:rsidR="006D76C1" w:rsidRPr="00973607">
        <w:rPr>
          <w:rFonts w:ascii="Times New Roman" w:hAnsi="Times New Roman" w:cs="Times New Roman"/>
          <w:sz w:val="24"/>
          <w:szCs w:val="24"/>
        </w:rPr>
        <w:t xml:space="preserve"> antisocial behaviors and values that are more than the typical values of a person</w:t>
      </w:r>
      <w:r w:rsidR="007C6B69">
        <w:rPr>
          <w:rFonts w:ascii="Times New Roman" w:hAnsi="Times New Roman" w:cs="Times New Roman"/>
          <w:sz w:val="24"/>
          <w:szCs w:val="24"/>
        </w:rPr>
        <w:t xml:space="preserve"> (Siegel, 2016</w:t>
      </w:r>
      <w:r w:rsidR="003D6308" w:rsidRPr="00973607">
        <w:rPr>
          <w:rFonts w:ascii="Times New Roman" w:hAnsi="Times New Roman" w:cs="Times New Roman"/>
          <w:sz w:val="24"/>
          <w:szCs w:val="24"/>
        </w:rPr>
        <w:t>)</w:t>
      </w:r>
      <w:r w:rsidR="006D76C1" w:rsidRPr="00973607">
        <w:rPr>
          <w:rFonts w:ascii="Times New Roman" w:hAnsi="Times New Roman" w:cs="Times New Roman"/>
          <w:sz w:val="24"/>
          <w:szCs w:val="24"/>
        </w:rPr>
        <w:t xml:space="preserve">. Therefore, the differential </w:t>
      </w:r>
      <w:r w:rsidR="006D76C1" w:rsidRPr="00973607">
        <w:rPr>
          <w:rFonts w:ascii="Times New Roman" w:hAnsi="Times New Roman" w:cs="Times New Roman"/>
          <w:sz w:val="24"/>
          <w:szCs w:val="24"/>
        </w:rPr>
        <w:lastRenderedPageBreak/>
        <w:t>association theory postulates that criminal behaviors are acquired through the process of learning just like any other behaviors in a human being.</w:t>
      </w:r>
    </w:p>
    <w:p w:rsidR="006D76C1"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Differential association theory does not specialize on the origin of crime such as from a disorganized environment or from the people of lower class. Different people that seem to abide by the law such as parents can provoke crime through actions such as domestic violence, the use of drugs and alcohol and the general upbringing of children in a family</w:t>
      </w:r>
      <w:r w:rsidR="006B2761">
        <w:rPr>
          <w:rFonts w:ascii="Times New Roman" w:hAnsi="Times New Roman" w:cs="Times New Roman"/>
          <w:sz w:val="24"/>
          <w:szCs w:val="24"/>
        </w:rPr>
        <w:t xml:space="preserve"> (Siegel, 2016</w:t>
      </w:r>
      <w:r w:rsidR="003D6308" w:rsidRPr="00973607">
        <w:rPr>
          <w:rFonts w:ascii="Times New Roman" w:hAnsi="Times New Roman" w:cs="Times New Roman"/>
          <w:sz w:val="24"/>
          <w:szCs w:val="24"/>
        </w:rPr>
        <w:t>)</w:t>
      </w:r>
      <w:r w:rsidRPr="00973607">
        <w:rPr>
          <w:rFonts w:ascii="Times New Roman" w:hAnsi="Times New Roman" w:cs="Times New Roman"/>
          <w:sz w:val="24"/>
          <w:szCs w:val="24"/>
        </w:rPr>
        <w:t>. An exposure of an individual to criminal parents and the deviance of the parents is a major factor that contributes to crime. The more the children are attached to antisocial parents the more they are likely to become antisocial and engage in criminal activities. Social class is not the main factor that influences the theory of differential association because the deviant characters are copied from the immediate environment and the society.</w:t>
      </w:r>
    </w:p>
    <w:p w:rsidR="00D9446B" w:rsidRPr="00973607" w:rsidRDefault="00914844" w:rsidP="00973607">
      <w:pPr>
        <w:spacing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Characteristics of Victims</w:t>
      </w:r>
    </w:p>
    <w:p w:rsidR="00FF5C4F"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 xml:space="preserve">The victims in differential association theory may have various characteristics </w:t>
      </w:r>
      <w:r w:rsidR="003D6308" w:rsidRPr="00973607">
        <w:rPr>
          <w:rFonts w:ascii="Times New Roman" w:hAnsi="Times New Roman" w:cs="Times New Roman"/>
          <w:sz w:val="24"/>
          <w:szCs w:val="24"/>
        </w:rPr>
        <w:t xml:space="preserve">ranging from a wide age gap to both men and women. However, these characteristics mainly depend on the type of crime. </w:t>
      </w:r>
      <w:r w:rsidRPr="00973607">
        <w:rPr>
          <w:rFonts w:ascii="Times New Roman" w:hAnsi="Times New Roman" w:cs="Times New Roman"/>
          <w:sz w:val="24"/>
          <w:szCs w:val="24"/>
        </w:rPr>
        <w:t>The individuals may feel helpless, which can open ways for the offenders to continue with their criminal activities on the victim. They are psychologically affected and may develop mild to severe depression depending on the intensity of the crime against them. The physical characteristics include low motivation and withdrawing from the society. The society is affected by the fear that is cr</w:t>
      </w:r>
      <w:r w:rsidR="009C3B5F" w:rsidRPr="00973607">
        <w:rPr>
          <w:rFonts w:ascii="Times New Roman" w:hAnsi="Times New Roman" w:cs="Times New Roman"/>
          <w:sz w:val="24"/>
          <w:szCs w:val="24"/>
        </w:rPr>
        <w:t>eated by the offenders, and the</w:t>
      </w:r>
      <w:r w:rsidRPr="00973607">
        <w:rPr>
          <w:rFonts w:ascii="Times New Roman" w:hAnsi="Times New Roman" w:cs="Times New Roman"/>
          <w:sz w:val="24"/>
          <w:szCs w:val="24"/>
        </w:rPr>
        <w:t xml:space="preserve"> general social well-being of the society is halted.  </w:t>
      </w:r>
    </w:p>
    <w:p w:rsidR="00FF5C4F" w:rsidRPr="00973607" w:rsidRDefault="00914844" w:rsidP="00973607">
      <w:pPr>
        <w:spacing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Characteristics of the Offenders</w:t>
      </w:r>
    </w:p>
    <w:p w:rsidR="00D9446B"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 xml:space="preserve"> Offenders in domestic violence are characterized by social withdrawal. These offenders are described as violent and may be victims of drugs and substance abuse. Their upbringing is </w:t>
      </w:r>
      <w:r w:rsidRPr="00973607">
        <w:rPr>
          <w:rFonts w:ascii="Times New Roman" w:hAnsi="Times New Roman" w:cs="Times New Roman"/>
          <w:sz w:val="24"/>
          <w:szCs w:val="24"/>
        </w:rPr>
        <w:lastRenderedPageBreak/>
        <w:t xml:space="preserve">questionable and may have a history of domestic violence. They are also exposed to contrasting values of the society </w:t>
      </w:r>
      <w:r w:rsidR="001A6878" w:rsidRPr="00973607">
        <w:rPr>
          <w:rFonts w:ascii="Times New Roman" w:hAnsi="Times New Roman" w:cs="Times New Roman"/>
          <w:sz w:val="24"/>
          <w:szCs w:val="24"/>
        </w:rPr>
        <w:t>concerning the rights, wrongs, moral or immoral in the society. Most incidences of crimes are committed by males between the age of 18 and 46. In differential association theory, the offenders have varying education levels because they can learn criminal activities from their surroundings and learn to specialize in specific crimes such as professional crime</w:t>
      </w:r>
      <w:r w:rsidR="009C3B5F" w:rsidRPr="00973607">
        <w:rPr>
          <w:rFonts w:ascii="Times New Roman" w:hAnsi="Times New Roman" w:cs="Times New Roman"/>
          <w:sz w:val="24"/>
          <w:szCs w:val="24"/>
        </w:rPr>
        <w:t>s</w:t>
      </w:r>
      <w:r w:rsidR="001A6878" w:rsidRPr="00973607">
        <w:rPr>
          <w:rFonts w:ascii="Times New Roman" w:hAnsi="Times New Roman" w:cs="Times New Roman"/>
          <w:sz w:val="24"/>
          <w:szCs w:val="24"/>
        </w:rPr>
        <w:t>. The location of the offenders also does not play a major role because the criminals can learn deviance from the surrounding</w:t>
      </w:r>
      <w:r w:rsidR="00640939">
        <w:rPr>
          <w:rFonts w:ascii="Times New Roman" w:hAnsi="Times New Roman" w:cs="Times New Roman"/>
          <w:sz w:val="24"/>
          <w:szCs w:val="24"/>
        </w:rPr>
        <w:t xml:space="preserve"> </w:t>
      </w:r>
      <w:r w:rsidR="00640939">
        <w:rPr>
          <w:rFonts w:ascii="Times New Roman" w:hAnsi="Times New Roman" w:cs="Times New Roman"/>
          <w:sz w:val="24"/>
          <w:szCs w:val="24"/>
        </w:rPr>
        <w:t>(Siegel, 2016</w:t>
      </w:r>
      <w:r w:rsidR="00640939" w:rsidRPr="00973607">
        <w:rPr>
          <w:rFonts w:ascii="Times New Roman" w:hAnsi="Times New Roman" w:cs="Times New Roman"/>
          <w:sz w:val="24"/>
          <w:szCs w:val="24"/>
        </w:rPr>
        <w:t>).</w:t>
      </w:r>
      <w:r w:rsidR="001A6878" w:rsidRPr="00973607">
        <w:rPr>
          <w:rFonts w:ascii="Times New Roman" w:hAnsi="Times New Roman" w:cs="Times New Roman"/>
          <w:sz w:val="24"/>
          <w:szCs w:val="24"/>
        </w:rPr>
        <w:t xml:space="preserve"> </w:t>
      </w:r>
    </w:p>
    <w:p w:rsidR="001A6878" w:rsidRPr="00973607" w:rsidRDefault="00914844" w:rsidP="00973607">
      <w:pPr>
        <w:spacing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Example of the Application of the Theory</w:t>
      </w:r>
    </w:p>
    <w:p w:rsidR="00B36A0D"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Beshears used the differential association theory to examine the susceptibility of police officers to corruption</w:t>
      </w:r>
      <w:r w:rsidR="009C3B5F" w:rsidRPr="00973607">
        <w:rPr>
          <w:rFonts w:ascii="Times New Roman" w:hAnsi="Times New Roman" w:cs="Times New Roman"/>
          <w:sz w:val="24"/>
          <w:szCs w:val="24"/>
        </w:rPr>
        <w:t xml:space="preserve"> (2016)</w:t>
      </w:r>
      <w:r w:rsidRPr="00973607">
        <w:rPr>
          <w:rFonts w:ascii="Times New Roman" w:hAnsi="Times New Roman" w:cs="Times New Roman"/>
          <w:sz w:val="24"/>
          <w:szCs w:val="24"/>
        </w:rPr>
        <w:t>. The author assess</w:t>
      </w:r>
      <w:r w:rsidR="009C3B5F" w:rsidRPr="00973607">
        <w:rPr>
          <w:rFonts w:ascii="Times New Roman" w:hAnsi="Times New Roman" w:cs="Times New Roman"/>
          <w:sz w:val="24"/>
          <w:szCs w:val="24"/>
        </w:rPr>
        <w:t>es</w:t>
      </w:r>
      <w:r w:rsidRPr="00973607">
        <w:rPr>
          <w:rFonts w:ascii="Times New Roman" w:hAnsi="Times New Roman" w:cs="Times New Roman"/>
          <w:sz w:val="24"/>
          <w:szCs w:val="24"/>
        </w:rPr>
        <w:t xml:space="preserve"> the roles of the typical police officer as giving traffic tickets to citi</w:t>
      </w:r>
      <w:r w:rsidR="00D10C47" w:rsidRPr="00973607">
        <w:rPr>
          <w:rFonts w:ascii="Times New Roman" w:hAnsi="Times New Roman" w:cs="Times New Roman"/>
          <w:sz w:val="24"/>
          <w:szCs w:val="24"/>
        </w:rPr>
        <w:t>zens who violate traffic rules and arresting drugs peddlers who feel that they have the right to do what they want since it does not hurt anyone among many other responsibilities</w:t>
      </w:r>
      <w:r w:rsidRPr="00973607">
        <w:rPr>
          <w:rFonts w:ascii="Times New Roman" w:hAnsi="Times New Roman" w:cs="Times New Roman"/>
          <w:sz w:val="24"/>
          <w:szCs w:val="24"/>
        </w:rPr>
        <w:t xml:space="preserve"> (Beshears, 2016)</w:t>
      </w:r>
      <w:r w:rsidR="00D10C47" w:rsidRPr="00973607">
        <w:rPr>
          <w:rFonts w:ascii="Times New Roman" w:hAnsi="Times New Roman" w:cs="Times New Roman"/>
          <w:sz w:val="24"/>
          <w:szCs w:val="24"/>
        </w:rPr>
        <w:t>. In such cases, the officers come across people in private areas, and away from the view of the public and their supervisors. These circumstances coupled by the power, authority and the enforcement that the officers have</w:t>
      </w:r>
      <w:r w:rsidR="009C3B5F" w:rsidRPr="00973607">
        <w:rPr>
          <w:rFonts w:ascii="Times New Roman" w:hAnsi="Times New Roman" w:cs="Times New Roman"/>
          <w:sz w:val="24"/>
          <w:szCs w:val="24"/>
        </w:rPr>
        <w:t>,</w:t>
      </w:r>
      <w:r w:rsidR="00D10C47" w:rsidRPr="00973607">
        <w:rPr>
          <w:rFonts w:ascii="Times New Roman" w:hAnsi="Times New Roman" w:cs="Times New Roman"/>
          <w:sz w:val="24"/>
          <w:szCs w:val="24"/>
        </w:rPr>
        <w:t xml:space="preserve"> open ways for possibilities of abuse. The theory of differential association applies the principle of the frequency of association of an individual with another, which make the two parties similar. In this case, the theory suggests that the exposure of police officers to the criminals with time may lead to the officers becoming criminals. In addition, if non-corrupt officers are frequently exposed to corrupt officers, they may be influenced by becoming corrupt</w:t>
      </w:r>
      <w:r w:rsidR="009C3B5F" w:rsidRPr="00973607">
        <w:rPr>
          <w:rFonts w:ascii="Times New Roman" w:hAnsi="Times New Roman" w:cs="Times New Roman"/>
          <w:sz w:val="24"/>
          <w:szCs w:val="24"/>
        </w:rPr>
        <w:t xml:space="preserve"> (Beshears, 2016)</w:t>
      </w:r>
      <w:r w:rsidR="00D10C47" w:rsidRPr="00973607">
        <w:rPr>
          <w:rFonts w:ascii="Times New Roman" w:hAnsi="Times New Roman" w:cs="Times New Roman"/>
          <w:sz w:val="24"/>
          <w:szCs w:val="24"/>
        </w:rPr>
        <w:t>. The author outlines various forms of corruption in which the officers</w:t>
      </w:r>
      <w:r w:rsidR="009C3B5F" w:rsidRPr="00973607">
        <w:rPr>
          <w:rFonts w:ascii="Times New Roman" w:hAnsi="Times New Roman" w:cs="Times New Roman"/>
          <w:sz w:val="24"/>
          <w:szCs w:val="24"/>
        </w:rPr>
        <w:t xml:space="preserve"> can engage in, which include</w:t>
      </w:r>
      <w:r w:rsidR="00D10C47" w:rsidRPr="00973607">
        <w:rPr>
          <w:rFonts w:ascii="Times New Roman" w:hAnsi="Times New Roman" w:cs="Times New Roman"/>
          <w:sz w:val="24"/>
          <w:szCs w:val="24"/>
        </w:rPr>
        <w:t xml:space="preserve"> minor bribes, role malfeasance, and property crime among others. The author concludes by suggesting that law enforcement leaders have a responsibility of being mindful of the susceptibility of the officers to corruption </w:t>
      </w:r>
      <w:r w:rsidRPr="00973607">
        <w:rPr>
          <w:rFonts w:ascii="Times New Roman" w:hAnsi="Times New Roman" w:cs="Times New Roman"/>
          <w:sz w:val="24"/>
          <w:szCs w:val="24"/>
        </w:rPr>
        <w:lastRenderedPageBreak/>
        <w:t>and should</w:t>
      </w:r>
      <w:r w:rsidR="009C3B5F" w:rsidRPr="00973607">
        <w:rPr>
          <w:rFonts w:ascii="Times New Roman" w:hAnsi="Times New Roman" w:cs="Times New Roman"/>
          <w:sz w:val="24"/>
          <w:szCs w:val="24"/>
        </w:rPr>
        <w:t>, therefore, develop means for counteracting</w:t>
      </w:r>
      <w:r w:rsidRPr="00973607">
        <w:rPr>
          <w:rFonts w:ascii="Times New Roman" w:hAnsi="Times New Roman" w:cs="Times New Roman"/>
          <w:sz w:val="24"/>
          <w:szCs w:val="24"/>
        </w:rPr>
        <w:t xml:space="preserve"> with the tendencies of the officers falling into corruption. </w:t>
      </w:r>
    </w:p>
    <w:p w:rsidR="001A6878" w:rsidRPr="00973607" w:rsidRDefault="00914844" w:rsidP="00670DAF">
      <w:pPr>
        <w:spacing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 xml:space="preserve">In their article, </w:t>
      </w:r>
      <w:r w:rsidR="009C3B5F" w:rsidRPr="00973607">
        <w:rPr>
          <w:rFonts w:ascii="Times New Roman" w:hAnsi="Times New Roman" w:cs="Times New Roman"/>
          <w:sz w:val="24"/>
          <w:szCs w:val="24"/>
        </w:rPr>
        <w:t>“</w:t>
      </w:r>
      <w:r w:rsidR="00945F36" w:rsidRPr="00973607">
        <w:rPr>
          <w:rFonts w:ascii="Times New Roman" w:hAnsi="Times New Roman" w:cs="Times New Roman"/>
          <w:sz w:val="24"/>
          <w:szCs w:val="24"/>
        </w:rPr>
        <w:t>Explaining Cybercrime through the Lens of Differential Association Theory,</w:t>
      </w:r>
      <w:r w:rsidR="009C3B5F" w:rsidRPr="00973607">
        <w:rPr>
          <w:rFonts w:ascii="Times New Roman" w:hAnsi="Times New Roman" w:cs="Times New Roman"/>
          <w:sz w:val="24"/>
          <w:szCs w:val="24"/>
        </w:rPr>
        <w:t>”</w:t>
      </w:r>
      <w:r w:rsidR="00945F36" w:rsidRPr="00973607">
        <w:rPr>
          <w:rFonts w:ascii="Times New Roman" w:hAnsi="Times New Roman" w:cs="Times New Roman"/>
          <w:sz w:val="24"/>
          <w:szCs w:val="24"/>
        </w:rPr>
        <w:t xml:space="preserve"> Levin et al, use the components of differential association theory to examine</w:t>
      </w:r>
      <w:r w:rsidR="009C3B5F" w:rsidRPr="00973607">
        <w:rPr>
          <w:rFonts w:ascii="Times New Roman" w:hAnsi="Times New Roman" w:cs="Times New Roman"/>
          <w:sz w:val="24"/>
          <w:szCs w:val="24"/>
        </w:rPr>
        <w:t xml:space="preserve"> the street –level crime and its</w:t>
      </w:r>
      <w:r w:rsidR="00945F36" w:rsidRPr="00973607">
        <w:rPr>
          <w:rFonts w:ascii="Times New Roman" w:hAnsi="Times New Roman" w:cs="Times New Roman"/>
          <w:sz w:val="24"/>
          <w:szCs w:val="24"/>
        </w:rPr>
        <w:t xml:space="preserve"> relationship with white collar crimes</w:t>
      </w:r>
      <w:r w:rsidR="00C938F7" w:rsidRPr="00973607">
        <w:rPr>
          <w:rFonts w:ascii="Times New Roman" w:hAnsi="Times New Roman" w:cs="Times New Roman"/>
          <w:sz w:val="24"/>
          <w:szCs w:val="24"/>
        </w:rPr>
        <w:t xml:space="preserve"> (2015)</w:t>
      </w:r>
      <w:r w:rsidR="00945F36" w:rsidRPr="00973607">
        <w:rPr>
          <w:rFonts w:ascii="Times New Roman" w:hAnsi="Times New Roman" w:cs="Times New Roman"/>
          <w:sz w:val="24"/>
          <w:szCs w:val="24"/>
        </w:rPr>
        <w:t>. The</w:t>
      </w:r>
      <w:r w:rsidR="009C3B5F" w:rsidRPr="00973607">
        <w:rPr>
          <w:rFonts w:ascii="Times New Roman" w:hAnsi="Times New Roman" w:cs="Times New Roman"/>
          <w:sz w:val="24"/>
          <w:szCs w:val="24"/>
        </w:rPr>
        <w:t xml:space="preserve"> study explores the Hadid 44-2 </w:t>
      </w:r>
      <w:r w:rsidR="00945F36" w:rsidRPr="00973607">
        <w:rPr>
          <w:rFonts w:ascii="Times New Roman" w:hAnsi="Times New Roman" w:cs="Times New Roman"/>
          <w:sz w:val="24"/>
          <w:szCs w:val="24"/>
        </w:rPr>
        <w:t>php phishing kit and evaluates how the theory can be utilized in developing an understanding of the case. The authors examine a collection of 99 email addresses that were connected to the same phishing kit on PayPal</w:t>
      </w:r>
      <w:r w:rsidR="009C3B5F" w:rsidRPr="00973607">
        <w:rPr>
          <w:rFonts w:ascii="Times New Roman" w:hAnsi="Times New Roman" w:cs="Times New Roman"/>
          <w:sz w:val="24"/>
          <w:szCs w:val="24"/>
        </w:rPr>
        <w:t xml:space="preserve"> </w:t>
      </w:r>
      <w:r w:rsidR="009478DF" w:rsidRPr="00973607">
        <w:rPr>
          <w:rFonts w:ascii="Times New Roman" w:hAnsi="Times New Roman" w:cs="Times New Roman"/>
          <w:sz w:val="24"/>
          <w:szCs w:val="24"/>
        </w:rPr>
        <w:t xml:space="preserve">(Levin et al, 2015). </w:t>
      </w:r>
      <w:r w:rsidR="00945F36" w:rsidRPr="00973607">
        <w:rPr>
          <w:rFonts w:ascii="Times New Roman" w:hAnsi="Times New Roman" w:cs="Times New Roman"/>
          <w:sz w:val="24"/>
          <w:szCs w:val="24"/>
        </w:rPr>
        <w:t xml:space="preserve">Open Source Intelligence technique is used in determining the potential connection between the email addresses and their owners. The results are discussed in relation to the differential association theory to evaluate the level to which the theory may help in understanding cybercrimes. The study found out that forty-three email addresses were available </w:t>
      </w:r>
      <w:r w:rsidR="008B4EB1" w:rsidRPr="00973607">
        <w:rPr>
          <w:rFonts w:ascii="Times New Roman" w:hAnsi="Times New Roman" w:cs="Times New Roman"/>
          <w:sz w:val="24"/>
          <w:szCs w:val="24"/>
        </w:rPr>
        <w:t xml:space="preserve">on the internet. Thirty-two addresses gave significant and ample results of the criminals and their usage on the Hadidi 44-2. The remaining eleven emails were found to have been used on Facebook but no significant information was obtained. Using the differential association theory, the authors concluded that criminal behaviors are learned because </w:t>
      </w:r>
      <w:r w:rsidR="009C3B5F" w:rsidRPr="00973607">
        <w:rPr>
          <w:rFonts w:ascii="Times New Roman" w:hAnsi="Times New Roman" w:cs="Times New Roman"/>
          <w:sz w:val="24"/>
          <w:szCs w:val="24"/>
        </w:rPr>
        <w:t>t</w:t>
      </w:r>
      <w:r w:rsidR="008B4EB1" w:rsidRPr="00973607">
        <w:rPr>
          <w:rFonts w:ascii="Times New Roman" w:hAnsi="Times New Roman" w:cs="Times New Roman"/>
          <w:sz w:val="24"/>
          <w:szCs w:val="24"/>
        </w:rPr>
        <w:t>he Phishing</w:t>
      </w:r>
      <w:r w:rsidR="009C3B5F" w:rsidRPr="00973607">
        <w:rPr>
          <w:rFonts w:ascii="Times New Roman" w:hAnsi="Times New Roman" w:cs="Times New Roman"/>
          <w:sz w:val="24"/>
          <w:szCs w:val="24"/>
        </w:rPr>
        <w:t xml:space="preserve"> PayPal was compromised after the </w:t>
      </w:r>
      <w:r w:rsidR="008B4EB1" w:rsidRPr="00973607">
        <w:rPr>
          <w:rFonts w:ascii="Times New Roman" w:hAnsi="Times New Roman" w:cs="Times New Roman"/>
          <w:sz w:val="24"/>
          <w:szCs w:val="24"/>
        </w:rPr>
        <w:t>criminal learned about the case. The criminal behaviors are learned through the interplay with others, where the phishing was learned from virtual communication on social network forums</w:t>
      </w:r>
      <w:r w:rsidR="009C3B5F" w:rsidRPr="00973607">
        <w:rPr>
          <w:rFonts w:ascii="Times New Roman" w:hAnsi="Times New Roman" w:cs="Times New Roman"/>
          <w:sz w:val="24"/>
          <w:szCs w:val="24"/>
        </w:rPr>
        <w:t xml:space="preserve"> </w:t>
      </w:r>
      <w:r w:rsidR="009478DF" w:rsidRPr="00973607">
        <w:rPr>
          <w:rFonts w:ascii="Times New Roman" w:hAnsi="Times New Roman" w:cs="Times New Roman"/>
          <w:sz w:val="24"/>
          <w:szCs w:val="24"/>
        </w:rPr>
        <w:t xml:space="preserve">(Levin et al, 2015). </w:t>
      </w:r>
      <w:r w:rsidR="008B4EB1" w:rsidRPr="00973607">
        <w:rPr>
          <w:rFonts w:ascii="Times New Roman" w:hAnsi="Times New Roman" w:cs="Times New Roman"/>
          <w:sz w:val="24"/>
          <w:szCs w:val="24"/>
        </w:rPr>
        <w:t>The c</w:t>
      </w:r>
      <w:r w:rsidR="009478DF" w:rsidRPr="00973607">
        <w:rPr>
          <w:rFonts w:ascii="Times New Roman" w:hAnsi="Times New Roman" w:cs="Times New Roman"/>
          <w:sz w:val="24"/>
          <w:szCs w:val="24"/>
        </w:rPr>
        <w:t xml:space="preserve">riminals interacted with others, who </w:t>
      </w:r>
      <w:r w:rsidR="008B4EB1" w:rsidRPr="00973607">
        <w:rPr>
          <w:rFonts w:ascii="Times New Roman" w:hAnsi="Times New Roman" w:cs="Times New Roman"/>
          <w:sz w:val="24"/>
          <w:szCs w:val="24"/>
        </w:rPr>
        <w:t>acted as teachers to the people that were not experienced. Learning traits take place in intimate groups. Relationships were formed between the criminals through virtual communication, where the people lea</w:t>
      </w:r>
      <w:r w:rsidR="009478DF" w:rsidRPr="00973607">
        <w:rPr>
          <w:rFonts w:ascii="Times New Roman" w:hAnsi="Times New Roman" w:cs="Times New Roman"/>
          <w:sz w:val="24"/>
          <w:szCs w:val="24"/>
        </w:rPr>
        <w:t xml:space="preserve">rn the usage of the technology, leading to the formation of </w:t>
      </w:r>
      <w:r w:rsidR="008B4EB1" w:rsidRPr="00973607">
        <w:rPr>
          <w:rFonts w:ascii="Times New Roman" w:hAnsi="Times New Roman" w:cs="Times New Roman"/>
          <w:sz w:val="24"/>
          <w:szCs w:val="24"/>
        </w:rPr>
        <w:t xml:space="preserve">intimate and influential relationships. The process of learning criminal behaviors includes the techniques of getting involved in the crime. The skills and techniques that were </w:t>
      </w:r>
      <w:r w:rsidR="008B4EB1" w:rsidRPr="00973607">
        <w:rPr>
          <w:rFonts w:ascii="Times New Roman" w:hAnsi="Times New Roman" w:cs="Times New Roman"/>
          <w:sz w:val="24"/>
          <w:szCs w:val="24"/>
        </w:rPr>
        <w:lastRenderedPageBreak/>
        <w:t xml:space="preserve">utilized in the phishing kit were available to the public through uploads of the Hadidi 44 -2 kit to the cyber community. The target of PayPal </w:t>
      </w:r>
      <w:r w:rsidR="00C938F7" w:rsidRPr="00973607">
        <w:rPr>
          <w:rFonts w:ascii="Times New Roman" w:hAnsi="Times New Roman" w:cs="Times New Roman"/>
          <w:sz w:val="24"/>
          <w:szCs w:val="24"/>
        </w:rPr>
        <w:t xml:space="preserve">was driven by the motive of money and the reputation that the criminals were having from spreading the kit. </w:t>
      </w:r>
    </w:p>
    <w:p w:rsidR="009478DF" w:rsidRPr="00973607" w:rsidRDefault="00670DAF" w:rsidP="00670DA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Further, i</w:t>
      </w:r>
      <w:r w:rsidR="00914844" w:rsidRPr="00973607">
        <w:rPr>
          <w:rFonts w:ascii="Times New Roman" w:hAnsi="Times New Roman" w:cs="Times New Roman"/>
          <w:sz w:val="24"/>
          <w:szCs w:val="24"/>
        </w:rPr>
        <w:t>n the article, “Professional Criminals and White-Collar Crime in Popular Culture: Criminology and Criminal Justice," Holmes asserts that professional thieves, white collar crimes and their manifestation in the media reporting and popular culture is a growing concern (2017). The author uses differential association theory in establishing the concept that the involvement with competing opinions and the behaviors of other people can contribute to an offense of an individual. The media is considered to depict professional thieves and cons as intelligent and creative people among the offenders. The activities of professional thieves and con artists are revered and given positive attention by the media and receive lesser treatment in popular cultures. In most cases, the offenders are presented as rogues and fiction rather than serious criminals. The author refers to the case of William Thompson, a renowned con in the US, where the offender was presented by the press as a commentary on customs and manner (Holmes, 2017). The offenders are made to appear attractive and heroes of fictional accounts, while the victims are presented as people who deserved. An element of crime involves a victim who willingly engages in criminal activities with motives of gaining profit. The offenders can be white collar criminals or thieves but their actions are elevated in the media. In this context, the differential association theory has been used to measuring the peer characteristics and the relationship between the peer beliefs and delinquency in adolescence.</w:t>
      </w:r>
    </w:p>
    <w:p w:rsidR="009478DF" w:rsidRPr="00973607" w:rsidRDefault="00914844" w:rsidP="00973607">
      <w:pPr>
        <w:shd w:val="clear" w:color="auto" w:fill="FFFFFF"/>
        <w:spacing w:before="100" w:beforeAutospacing="1" w:after="100" w:afterAutospacing="1"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Current Events Applied to the Theory</w:t>
      </w:r>
    </w:p>
    <w:p w:rsidR="009478DF" w:rsidRPr="00973607" w:rsidRDefault="00914844" w:rsidP="005F6C5B">
      <w:pPr>
        <w:shd w:val="clear" w:color="auto" w:fill="FFFFFF"/>
        <w:spacing w:before="100" w:beforeAutospacing="1" w:after="100" w:afterAutospacing="1"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 xml:space="preserve">Various researchers have shown their interest in the differential association theory. An example is a researcher, Cressey, whose work was aimed at drawing data on the critical and </w:t>
      </w:r>
      <w:r w:rsidRPr="00973607">
        <w:rPr>
          <w:rFonts w:ascii="Times New Roman" w:hAnsi="Times New Roman" w:cs="Times New Roman"/>
          <w:sz w:val="24"/>
          <w:szCs w:val="24"/>
        </w:rPr>
        <w:lastRenderedPageBreak/>
        <w:t xml:space="preserve">empirical literature (Orcutt, 2006). The researcher did a definitive review of the major content of the theory by discouraging the appraisal of the theory and disputed it as an organizing principle that is not testable. Occasional efforts have been developed since then towards the efforts of addressing the research to the explanation of the deviant behavior in this theory. Most investigations in the theory have been forwarded to the question on its testability by proposing various </w:t>
      </w:r>
      <w:r w:rsidR="00973607">
        <w:rPr>
          <w:rFonts w:ascii="Times New Roman" w:hAnsi="Times New Roman" w:cs="Times New Roman"/>
          <w:sz w:val="24"/>
          <w:szCs w:val="24"/>
        </w:rPr>
        <w:t xml:space="preserve">pieces of </w:t>
      </w:r>
      <w:r w:rsidRPr="00973607">
        <w:rPr>
          <w:rFonts w:ascii="Times New Roman" w:hAnsi="Times New Roman" w:cs="Times New Roman"/>
          <w:sz w:val="24"/>
          <w:szCs w:val="24"/>
        </w:rPr>
        <w:t>evidence</w:t>
      </w:r>
      <w:r w:rsidR="00973607">
        <w:rPr>
          <w:rFonts w:ascii="Times New Roman" w:hAnsi="Times New Roman" w:cs="Times New Roman"/>
          <w:sz w:val="24"/>
          <w:szCs w:val="24"/>
        </w:rPr>
        <w:t>s</w:t>
      </w:r>
      <w:r w:rsidRPr="00973607">
        <w:rPr>
          <w:rFonts w:ascii="Times New Roman" w:hAnsi="Times New Roman" w:cs="Times New Roman"/>
          <w:sz w:val="24"/>
          <w:szCs w:val="24"/>
        </w:rPr>
        <w:t xml:space="preserve"> to the explanation of the power of the theory on the central variables, which are the association of differential primary group associations and the favorable and the unfavorable definitions of deviant behavior (Orcutt, 2006). Structural equations and multiple regression analysis of the data have been used to examine the correlation between the drug use among the adolescents in the US and the differential association variables on delinquent behaviors. However, the differential association theory has been examined into its causal structure, which is considered the most formalized and systematic explanation of the deviant characteristics. The theory has been translated into formal logical calculus (Orcutt, 2006). The analysis shows that the theory is an internal deduction system of statements concerning the required conditions in the performance of behaviors that violate the law and in the learning process. In this case, the interpretation has been based on the argument that criminal behaviors have sufficient and necessary conditions over a combination of attitudes, criminal motives, techniques and the learning process that is experienced during an exposure of an individual to criminal activities, whereby extreme exposure corresponds to anti-criminal norms at the time of symbolic interaction in a primary group. The development of the theory explains that the end products of criminal activities are categorized into technical components, which are at times very simple or very complex, or motivational components especially the criminals, which are the direct motives that drive attitudes and rationalization.</w:t>
      </w:r>
    </w:p>
    <w:p w:rsidR="009478DF" w:rsidRPr="00973607" w:rsidRDefault="00914844" w:rsidP="00973607">
      <w:pPr>
        <w:shd w:val="clear" w:color="auto" w:fill="FFFFFF"/>
        <w:spacing w:before="100" w:beforeAutospacing="1" w:after="100" w:afterAutospacing="1"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lastRenderedPageBreak/>
        <w:t>Practical Application of the Theory</w:t>
      </w:r>
    </w:p>
    <w:p w:rsidR="009478DF" w:rsidRPr="00973607" w:rsidRDefault="00914844" w:rsidP="005F6C5B">
      <w:pPr>
        <w:shd w:val="clear" w:color="auto" w:fill="FFFFFF"/>
        <w:spacing w:before="100" w:beforeAutospacing="1" w:after="100" w:afterAutospacing="1"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The differential association theory can be used in controlling online hate groups such as Facebook, Google + and Instagram. These groups serve as sources of differential association, and the members interact with their peers, which lead to the affirming and reaffirming, the creation of and recreation of a culture of hate. Both the verbal and non-verbal discourse of the groups gives the definition that favors violence. The members of the groups teach each other and learn from the peers and reward each other for spreading violent through praising past violent actors and acts. The praise leads to the creation of a favorable environment where the techniques of particular attitudes, motives, and rationalization of violence are propagated repeatedly by the people who value the opinion of the groups.</w:t>
      </w:r>
    </w:p>
    <w:p w:rsidR="009478DF" w:rsidRPr="00973607" w:rsidRDefault="00914844" w:rsidP="00973607">
      <w:pPr>
        <w:shd w:val="clear" w:color="auto" w:fill="FFFFFF"/>
        <w:spacing w:before="100" w:beforeAutospacing="1" w:after="100" w:afterAutospacing="1"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Drawbacks to the Implementation of the Theory</w:t>
      </w:r>
    </w:p>
    <w:p w:rsidR="009478DF" w:rsidRPr="00973607" w:rsidRDefault="00914844" w:rsidP="005F6C5B">
      <w:pPr>
        <w:shd w:val="clear" w:color="auto" w:fill="FFFFFF"/>
        <w:spacing w:before="100" w:beforeAutospacing="1" w:after="100" w:afterAutospacing="1"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Among the cultural detractors is the inhibition, which is experienced when dealing with different cultures, and it is expected that the implementation of the differential association theory will experience cultural detractors in its application to different cultures. The prevalence of personal inhibition may be a major problem, since a gang of offenders may be made up of people from different background and sharing different beliefs. Cultural detractors are experienced from all levels of implementing the theory and cultural conflicts may be experienced between the offenders and the people that will be implementing this theory.</w:t>
      </w:r>
    </w:p>
    <w:p w:rsidR="009478DF" w:rsidRPr="00973607" w:rsidRDefault="00914844" w:rsidP="005F6C5B">
      <w:pPr>
        <w:shd w:val="clear" w:color="auto" w:fill="FFFFFF"/>
        <w:spacing w:before="100" w:beforeAutospacing="1" w:after="100" w:afterAutospacing="1"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A major occupation detractor that will face the implementation of the theory is the perception of the public towards the law enforcement officers</w:t>
      </w:r>
      <w:r w:rsidR="0000605C">
        <w:rPr>
          <w:rFonts w:ascii="Times New Roman" w:hAnsi="Times New Roman" w:cs="Times New Roman"/>
          <w:sz w:val="24"/>
          <w:szCs w:val="24"/>
        </w:rPr>
        <w:t xml:space="preserve"> </w:t>
      </w:r>
      <w:r w:rsidR="0000605C">
        <w:rPr>
          <w:rFonts w:ascii="Times New Roman" w:hAnsi="Times New Roman" w:cs="Times New Roman"/>
          <w:sz w:val="24"/>
          <w:szCs w:val="24"/>
        </w:rPr>
        <w:t>(Siegel, 2016</w:t>
      </w:r>
      <w:r w:rsidR="0000605C" w:rsidRPr="00973607">
        <w:rPr>
          <w:rFonts w:ascii="Times New Roman" w:hAnsi="Times New Roman" w:cs="Times New Roman"/>
          <w:sz w:val="24"/>
          <w:szCs w:val="24"/>
        </w:rPr>
        <w:t>).</w:t>
      </w:r>
      <w:r w:rsidRPr="00973607">
        <w:rPr>
          <w:rFonts w:ascii="Times New Roman" w:hAnsi="Times New Roman" w:cs="Times New Roman"/>
          <w:sz w:val="24"/>
          <w:szCs w:val="24"/>
        </w:rPr>
        <w:t xml:space="preserve"> Most people have the perception that the culture of law enforcement officers is characterized by corruption and that the officers are after victimizing the public. This perception may be a major problem to the implementation of the theory, where adequate support may not be given by the implementation </w:t>
      </w:r>
      <w:r w:rsidRPr="00973607">
        <w:rPr>
          <w:rFonts w:ascii="Times New Roman" w:hAnsi="Times New Roman" w:cs="Times New Roman"/>
          <w:sz w:val="24"/>
          <w:szCs w:val="24"/>
        </w:rPr>
        <w:lastRenderedPageBreak/>
        <w:t>process. The scrutiny from the public and human rights organizations may be a major occupational challenge. The public is always ready to note and report any deviation of the law enforcement officers which may be a major hindrance to the effective implementation of the theory.</w:t>
      </w:r>
    </w:p>
    <w:p w:rsidR="009478DF" w:rsidRPr="00973607" w:rsidRDefault="00914844" w:rsidP="00973607">
      <w:pPr>
        <w:shd w:val="clear" w:color="auto" w:fill="FFFFFF"/>
        <w:spacing w:before="100" w:beforeAutospacing="1" w:after="100" w:afterAutospacing="1"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Strategies to Overcome the Detractors</w:t>
      </w:r>
    </w:p>
    <w:p w:rsidR="009478DF" w:rsidRPr="00973607" w:rsidRDefault="00914844" w:rsidP="005F6C5B">
      <w:pPr>
        <w:shd w:val="clear" w:color="auto" w:fill="FFFFFF"/>
        <w:spacing w:before="100" w:beforeAutospacing="1" w:after="100" w:afterAutospacing="1" w:line="480" w:lineRule="auto"/>
        <w:ind w:firstLine="720"/>
        <w:contextualSpacing/>
        <w:rPr>
          <w:rFonts w:ascii="Times New Roman" w:hAnsi="Times New Roman" w:cs="Times New Roman"/>
          <w:sz w:val="24"/>
          <w:szCs w:val="24"/>
        </w:rPr>
      </w:pPr>
      <w:r w:rsidRPr="00973607">
        <w:rPr>
          <w:rFonts w:ascii="Times New Roman" w:hAnsi="Times New Roman" w:cs="Times New Roman"/>
          <w:sz w:val="24"/>
          <w:szCs w:val="24"/>
        </w:rPr>
        <w:t>Cultural detractors may be mitigated through public participation, where all the stakeholders in the community will be engaged in the process of implementing the theory. The participation will make all people, regardless of their cultural backgrounds to feel as being parts of the process and giving it the required support. Occupational detractors may be solved through civic education to create awareness among the public on the purpose of implementing the theory.</w:t>
      </w:r>
    </w:p>
    <w:p w:rsidR="009478DF" w:rsidRPr="00973607" w:rsidRDefault="00914844" w:rsidP="00973607">
      <w:pPr>
        <w:shd w:val="clear" w:color="auto" w:fill="FFFFFF"/>
        <w:spacing w:before="100" w:beforeAutospacing="1" w:after="100" w:afterAutospacing="1" w:line="480" w:lineRule="auto"/>
        <w:contextualSpacing/>
        <w:jc w:val="both"/>
        <w:rPr>
          <w:rFonts w:ascii="Times New Roman" w:hAnsi="Times New Roman" w:cs="Times New Roman"/>
          <w:b/>
          <w:sz w:val="24"/>
          <w:szCs w:val="24"/>
        </w:rPr>
      </w:pPr>
      <w:r w:rsidRPr="00973607">
        <w:rPr>
          <w:rFonts w:ascii="Times New Roman" w:hAnsi="Times New Roman" w:cs="Times New Roman"/>
          <w:b/>
          <w:sz w:val="24"/>
          <w:szCs w:val="24"/>
        </w:rPr>
        <w:t>Conclusion</w:t>
      </w:r>
    </w:p>
    <w:p w:rsidR="009478DF" w:rsidRPr="00973607" w:rsidRDefault="005F6C5B" w:rsidP="00973607">
      <w:pPr>
        <w:shd w:val="clear" w:color="auto" w:fill="FFFFFF"/>
        <w:spacing w:before="100" w:beforeAutospacing="1" w:after="100" w:afterAutospacing="1"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Ultimately, t</w:t>
      </w:r>
      <w:r w:rsidR="00914844" w:rsidRPr="00973607">
        <w:rPr>
          <w:rFonts w:ascii="Times New Roman" w:hAnsi="Times New Roman" w:cs="Times New Roman"/>
          <w:sz w:val="24"/>
          <w:szCs w:val="24"/>
        </w:rPr>
        <w:t>he above is a discussion on differential association theory. The theory is applicable to the profession of a law enforcement officer because it has a wide application in criminology that stretches to the white-collar crimes and professional theft. The theory has a great contribution towards changing the opinions and views of people on the origin of criminal behaviors. Besides, it has a wide application in criminology where it shifts the blame from individual and biological factors to social factors. It can be used in the current and prevailing global problems that are related to crime.</w:t>
      </w:r>
    </w:p>
    <w:p w:rsidR="00973607" w:rsidRDefault="00973607" w:rsidP="00973607">
      <w:pPr>
        <w:spacing w:line="480" w:lineRule="auto"/>
        <w:contextualSpacing/>
        <w:jc w:val="both"/>
        <w:rPr>
          <w:rFonts w:ascii="Times New Roman" w:hAnsi="Times New Roman" w:cs="Times New Roman"/>
          <w:sz w:val="24"/>
          <w:szCs w:val="24"/>
        </w:rPr>
      </w:pPr>
    </w:p>
    <w:p w:rsidR="00973607" w:rsidRDefault="00973607" w:rsidP="00973607">
      <w:pPr>
        <w:spacing w:line="480" w:lineRule="auto"/>
        <w:contextualSpacing/>
        <w:jc w:val="both"/>
        <w:rPr>
          <w:rFonts w:ascii="Times New Roman" w:hAnsi="Times New Roman" w:cs="Times New Roman"/>
          <w:sz w:val="24"/>
          <w:szCs w:val="24"/>
        </w:rPr>
      </w:pPr>
    </w:p>
    <w:p w:rsidR="00973607" w:rsidRDefault="00973607" w:rsidP="00973607">
      <w:pPr>
        <w:spacing w:line="480" w:lineRule="auto"/>
        <w:contextualSpacing/>
        <w:jc w:val="both"/>
        <w:rPr>
          <w:rFonts w:ascii="Times New Roman" w:hAnsi="Times New Roman" w:cs="Times New Roman"/>
          <w:sz w:val="24"/>
          <w:szCs w:val="24"/>
        </w:rPr>
      </w:pPr>
    </w:p>
    <w:p w:rsidR="00973607" w:rsidRDefault="00973607" w:rsidP="00973607">
      <w:pPr>
        <w:spacing w:line="480" w:lineRule="auto"/>
        <w:contextualSpacing/>
        <w:jc w:val="both"/>
        <w:rPr>
          <w:rFonts w:ascii="Times New Roman" w:hAnsi="Times New Roman" w:cs="Times New Roman"/>
          <w:sz w:val="24"/>
          <w:szCs w:val="24"/>
        </w:rPr>
      </w:pPr>
    </w:p>
    <w:p w:rsidR="00973607" w:rsidRDefault="00973607" w:rsidP="00973607">
      <w:pPr>
        <w:spacing w:line="480" w:lineRule="auto"/>
        <w:contextualSpacing/>
        <w:jc w:val="both"/>
        <w:rPr>
          <w:rFonts w:ascii="Times New Roman" w:hAnsi="Times New Roman" w:cs="Times New Roman"/>
          <w:sz w:val="24"/>
          <w:szCs w:val="24"/>
        </w:rPr>
      </w:pPr>
    </w:p>
    <w:p w:rsidR="00973607" w:rsidRDefault="00973607" w:rsidP="00973607">
      <w:pPr>
        <w:spacing w:line="480" w:lineRule="auto"/>
        <w:contextualSpacing/>
        <w:jc w:val="both"/>
        <w:rPr>
          <w:rFonts w:ascii="Times New Roman" w:hAnsi="Times New Roman" w:cs="Times New Roman"/>
          <w:sz w:val="24"/>
          <w:szCs w:val="24"/>
        </w:rPr>
      </w:pPr>
    </w:p>
    <w:p w:rsidR="00973607" w:rsidRPr="00973607" w:rsidRDefault="00973607" w:rsidP="00973607">
      <w:pPr>
        <w:spacing w:line="480" w:lineRule="auto"/>
        <w:contextualSpacing/>
        <w:jc w:val="center"/>
        <w:rPr>
          <w:rFonts w:ascii="Times New Roman" w:hAnsi="Times New Roman" w:cs="Times New Roman"/>
          <w:sz w:val="24"/>
          <w:szCs w:val="24"/>
        </w:rPr>
      </w:pPr>
      <w:r w:rsidRPr="00973607">
        <w:rPr>
          <w:rFonts w:ascii="Times New Roman" w:hAnsi="Times New Roman" w:cs="Times New Roman"/>
          <w:sz w:val="24"/>
          <w:szCs w:val="24"/>
        </w:rPr>
        <w:t>References</w:t>
      </w:r>
    </w:p>
    <w:p w:rsidR="00973607" w:rsidRPr="00973607" w:rsidRDefault="00973607" w:rsidP="00DB7BC2">
      <w:pPr>
        <w:spacing w:line="480" w:lineRule="auto"/>
        <w:ind w:left="720" w:hanging="720"/>
        <w:contextualSpacing/>
        <w:rPr>
          <w:rFonts w:ascii="Times New Roman" w:hAnsi="Times New Roman" w:cs="Times New Roman"/>
          <w:sz w:val="24"/>
          <w:szCs w:val="24"/>
        </w:rPr>
      </w:pPr>
      <w:r w:rsidRPr="00973607">
        <w:rPr>
          <w:rFonts w:ascii="Times New Roman" w:hAnsi="Times New Roman" w:cs="Times New Roman"/>
          <w:sz w:val="24"/>
          <w:szCs w:val="24"/>
        </w:rPr>
        <w:t>Beshears, L. M. (2016). How Susceptible Are Police to Corruption? Police Training Theory.  American Military University. Retrieved from https://inpublicsafety.com/2016/07/how-susceptible-are-police-to-corruption/</w:t>
      </w:r>
    </w:p>
    <w:p w:rsidR="00973607" w:rsidRPr="00973607" w:rsidRDefault="00973607" w:rsidP="00DB7BC2">
      <w:pPr>
        <w:spacing w:line="480" w:lineRule="auto"/>
        <w:ind w:left="720" w:hanging="720"/>
        <w:contextualSpacing/>
        <w:rPr>
          <w:rFonts w:ascii="Times New Roman" w:hAnsi="Times New Roman" w:cs="Times New Roman"/>
          <w:sz w:val="24"/>
          <w:szCs w:val="24"/>
        </w:rPr>
      </w:pPr>
      <w:r w:rsidRPr="00973607">
        <w:rPr>
          <w:rFonts w:ascii="Times New Roman" w:hAnsi="Times New Roman" w:cs="Times New Roman"/>
          <w:sz w:val="24"/>
          <w:szCs w:val="24"/>
        </w:rPr>
        <w:t>Holmes, T. (2017). Professional Criminals and White-Collar Crime in Popular Culture: Criminology and Criminal Justice. Retrieved from http:// criminology.oxfordre.com/view/10.1093/acrefore/9780190264079.001.0001/acrefore-9780190264079-e-215</w:t>
      </w:r>
    </w:p>
    <w:p w:rsidR="00973607" w:rsidRPr="00973607" w:rsidRDefault="00973607" w:rsidP="00DB7BC2">
      <w:pPr>
        <w:spacing w:line="480" w:lineRule="auto"/>
        <w:ind w:left="720" w:hanging="720"/>
        <w:contextualSpacing/>
        <w:rPr>
          <w:rFonts w:ascii="Times New Roman" w:hAnsi="Times New Roman" w:cs="Times New Roman"/>
          <w:sz w:val="24"/>
          <w:szCs w:val="24"/>
        </w:rPr>
      </w:pPr>
      <w:r w:rsidRPr="00973607">
        <w:rPr>
          <w:rFonts w:ascii="Times New Roman" w:hAnsi="Times New Roman" w:cs="Times New Roman"/>
          <w:sz w:val="24"/>
          <w:szCs w:val="24"/>
        </w:rPr>
        <w:t>Levin, R, Richardson, J &amp; Kent Kerley, W. G. (2015). Explaining Cybercrime through the Lens of Differential Association Theory: Hadidi44-2.php PayPal Case Study. Retrieved https://www.researchgate.net/publication/261038323_Explaining_Cybercrime_through_the_Lens_of_Differential_Association_Theory_Hadidi44-2php_PayPal_Case_Study</w:t>
      </w:r>
    </w:p>
    <w:p w:rsidR="00973607" w:rsidRPr="00973607" w:rsidRDefault="00973607" w:rsidP="00DB7BC2">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111111"/>
          <w:sz w:val="24"/>
          <w:szCs w:val="24"/>
        </w:rPr>
      </w:pPr>
      <w:r w:rsidRPr="00973607">
        <w:rPr>
          <w:rFonts w:ascii="Times New Roman" w:hAnsi="Times New Roman" w:cs="Times New Roman"/>
          <w:sz w:val="24"/>
          <w:szCs w:val="24"/>
        </w:rPr>
        <w:t>Orcutt, D, J. (2006). Differential association and marijuana use: A closer look at Sutherland (with a little help from Becker).</w:t>
      </w:r>
      <w:r w:rsidRPr="00973607">
        <w:rPr>
          <w:rFonts w:ascii="Times New Roman" w:hAnsi="Times New Roman" w:cs="Times New Roman"/>
          <w:color w:val="111111"/>
          <w:sz w:val="24"/>
          <w:szCs w:val="24"/>
        </w:rPr>
        <w:t xml:space="preserve"> </w:t>
      </w:r>
      <w:r w:rsidRPr="00973607">
        <w:rPr>
          <w:rFonts w:ascii="Times New Roman" w:hAnsi="Times New Roman" w:cs="Times New Roman"/>
          <w:sz w:val="24"/>
          <w:szCs w:val="24"/>
        </w:rPr>
        <w:t>Florida State University. Retrieved from https://www.researchgate.net/publication/227713089_Differential_association_and_marijuana_use_A_closer_look_at_Sutherland_with_a_little_help_from_Becker</w:t>
      </w:r>
    </w:p>
    <w:p w:rsidR="00973607" w:rsidRPr="00973607" w:rsidRDefault="005D5651" w:rsidP="003551F4">
      <w:pPr>
        <w:shd w:val="clear" w:color="auto" w:fill="FFFFFF"/>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Siegel, J. L. (2016</w:t>
      </w:r>
      <w:r w:rsidR="003551F4">
        <w:rPr>
          <w:rFonts w:ascii="Times New Roman" w:hAnsi="Times New Roman" w:cs="Times New Roman"/>
          <w:sz w:val="24"/>
          <w:szCs w:val="24"/>
        </w:rPr>
        <w:t xml:space="preserve">). Criminology: The Core: </w:t>
      </w:r>
      <w:r w:rsidR="00C014BB">
        <w:rPr>
          <w:rFonts w:ascii="Times New Roman" w:hAnsi="Times New Roman" w:cs="Times New Roman"/>
          <w:sz w:val="24"/>
          <w:szCs w:val="24"/>
        </w:rPr>
        <w:t>Sixth</w:t>
      </w:r>
      <w:r w:rsidR="003551F4">
        <w:rPr>
          <w:rFonts w:ascii="Times New Roman" w:hAnsi="Times New Roman" w:cs="Times New Roman"/>
          <w:sz w:val="24"/>
          <w:szCs w:val="24"/>
        </w:rPr>
        <w:t xml:space="preserve"> Edition. Nelson Education. Retrieved from https://books.google.com</w:t>
      </w:r>
      <w:r w:rsidR="003551F4" w:rsidRPr="003551F4">
        <w:rPr>
          <w:rFonts w:ascii="Times New Roman" w:hAnsi="Times New Roman" w:cs="Times New Roman"/>
          <w:sz w:val="24"/>
          <w:szCs w:val="24"/>
        </w:rPr>
        <w:t>/books?id=VZZ4CgAAQBAJ&amp;printsec=frontcover&amp;dq=editions:5TzFwk8yaHIC&amp;hl=en&amp;sa=X&amp;ved=0ahUKEwjp9bn_-a3dAhUOVhoKHbNkBTUQ6AEIVzAI</w:t>
      </w:r>
    </w:p>
    <w:p w:rsidR="00973607" w:rsidRPr="00973607" w:rsidRDefault="00973607" w:rsidP="003551F4">
      <w:pPr>
        <w:shd w:val="clear" w:color="auto" w:fill="FFFFFF"/>
        <w:spacing w:before="100" w:beforeAutospacing="1" w:after="100" w:afterAutospacing="1" w:line="480" w:lineRule="auto"/>
        <w:ind w:left="720" w:hanging="720"/>
        <w:contextualSpacing/>
        <w:jc w:val="both"/>
        <w:rPr>
          <w:rFonts w:ascii="Times New Roman" w:hAnsi="Times New Roman" w:cs="Times New Roman"/>
          <w:sz w:val="24"/>
          <w:szCs w:val="24"/>
        </w:rPr>
      </w:pPr>
    </w:p>
    <w:p w:rsidR="009478DF" w:rsidRPr="00973607" w:rsidRDefault="009478DF" w:rsidP="00973607">
      <w:pPr>
        <w:spacing w:line="480" w:lineRule="auto"/>
        <w:ind w:firstLine="720"/>
        <w:contextualSpacing/>
        <w:jc w:val="both"/>
        <w:rPr>
          <w:rFonts w:ascii="Times New Roman" w:hAnsi="Times New Roman" w:cs="Times New Roman"/>
          <w:sz w:val="24"/>
          <w:szCs w:val="24"/>
        </w:rPr>
      </w:pPr>
    </w:p>
    <w:sectPr w:rsidR="009478DF" w:rsidRPr="00973607" w:rsidSect="009736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F3D" w:rsidRDefault="005A5F3D" w:rsidP="00973607">
      <w:pPr>
        <w:spacing w:after="0" w:line="240" w:lineRule="auto"/>
      </w:pPr>
      <w:r>
        <w:separator/>
      </w:r>
    </w:p>
  </w:endnote>
  <w:endnote w:type="continuationSeparator" w:id="0">
    <w:p w:rsidR="005A5F3D" w:rsidRDefault="005A5F3D" w:rsidP="00973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F3D" w:rsidRDefault="005A5F3D" w:rsidP="00973607">
      <w:pPr>
        <w:spacing w:after="0" w:line="240" w:lineRule="auto"/>
      </w:pPr>
      <w:r>
        <w:separator/>
      </w:r>
    </w:p>
  </w:footnote>
  <w:footnote w:type="continuationSeparator" w:id="0">
    <w:p w:rsidR="005A5F3D" w:rsidRDefault="005A5F3D" w:rsidP="00973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607" w:rsidRPr="00973607" w:rsidRDefault="00973607">
    <w:pPr>
      <w:pStyle w:val="Header"/>
      <w:jc w:val="right"/>
      <w:rPr>
        <w:rFonts w:ascii="Times New Roman" w:hAnsi="Times New Roman" w:cs="Times New Roman"/>
        <w:sz w:val="24"/>
        <w:szCs w:val="24"/>
      </w:rPr>
    </w:pPr>
    <w:r w:rsidRPr="00973607">
      <w:rPr>
        <w:rFonts w:ascii="Times New Roman" w:hAnsi="Times New Roman" w:cs="Times New Roman"/>
        <w:sz w:val="24"/>
        <w:szCs w:val="24"/>
      </w:rPr>
      <w:t>CRIMINOLOGY THEORY</w:t>
    </w:r>
    <w:r w:rsidRPr="00973607">
      <w:rPr>
        <w:rFonts w:ascii="Times New Roman" w:hAnsi="Times New Roman" w:cs="Times New Roman"/>
        <w:sz w:val="24"/>
        <w:szCs w:val="24"/>
      </w:rPr>
      <w:tab/>
    </w:r>
    <w:r w:rsidRPr="00973607">
      <w:rPr>
        <w:rFonts w:ascii="Times New Roman" w:hAnsi="Times New Roman" w:cs="Times New Roman"/>
        <w:sz w:val="24"/>
        <w:szCs w:val="24"/>
      </w:rPr>
      <w:tab/>
    </w:r>
    <w:sdt>
      <w:sdtPr>
        <w:rPr>
          <w:rFonts w:ascii="Times New Roman" w:hAnsi="Times New Roman" w:cs="Times New Roman"/>
          <w:sz w:val="24"/>
          <w:szCs w:val="24"/>
        </w:rPr>
        <w:id w:val="785859278"/>
        <w:docPartObj>
          <w:docPartGallery w:val="Page Numbers (Top of Page)"/>
          <w:docPartUnique/>
        </w:docPartObj>
      </w:sdtPr>
      <w:sdtEndPr>
        <w:rPr>
          <w:noProof/>
        </w:rPr>
      </w:sdtEndPr>
      <w:sdtContent>
        <w:r w:rsidRPr="00973607">
          <w:rPr>
            <w:rFonts w:ascii="Times New Roman" w:hAnsi="Times New Roman" w:cs="Times New Roman"/>
            <w:sz w:val="24"/>
            <w:szCs w:val="24"/>
          </w:rPr>
          <w:fldChar w:fldCharType="begin"/>
        </w:r>
        <w:r w:rsidRPr="00973607">
          <w:rPr>
            <w:rFonts w:ascii="Times New Roman" w:hAnsi="Times New Roman" w:cs="Times New Roman"/>
            <w:sz w:val="24"/>
            <w:szCs w:val="24"/>
          </w:rPr>
          <w:instrText xml:space="preserve"> PAGE   \* MERGEFORMAT </w:instrText>
        </w:r>
        <w:r w:rsidRPr="00973607">
          <w:rPr>
            <w:rFonts w:ascii="Times New Roman" w:hAnsi="Times New Roman" w:cs="Times New Roman"/>
            <w:sz w:val="24"/>
            <w:szCs w:val="24"/>
          </w:rPr>
          <w:fldChar w:fldCharType="separate"/>
        </w:r>
        <w:r w:rsidR="00530DE3">
          <w:rPr>
            <w:rFonts w:ascii="Times New Roman" w:hAnsi="Times New Roman" w:cs="Times New Roman"/>
            <w:noProof/>
            <w:sz w:val="24"/>
            <w:szCs w:val="24"/>
          </w:rPr>
          <w:t>10</w:t>
        </w:r>
        <w:r w:rsidRPr="00973607">
          <w:rPr>
            <w:rFonts w:ascii="Times New Roman" w:hAnsi="Times New Roman" w:cs="Times New Roman"/>
            <w:noProof/>
            <w:sz w:val="24"/>
            <w:szCs w:val="24"/>
          </w:rPr>
          <w:fldChar w:fldCharType="end"/>
        </w:r>
      </w:sdtContent>
    </w:sdt>
  </w:p>
  <w:p w:rsidR="00973607" w:rsidRDefault="00973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607" w:rsidRPr="00973607" w:rsidRDefault="00973607">
    <w:pPr>
      <w:pStyle w:val="Header"/>
      <w:jc w:val="right"/>
      <w:rPr>
        <w:rFonts w:ascii="Times New Roman" w:hAnsi="Times New Roman" w:cs="Times New Roman"/>
        <w:sz w:val="24"/>
        <w:szCs w:val="24"/>
      </w:rPr>
    </w:pPr>
    <w:r w:rsidRPr="00973607">
      <w:rPr>
        <w:rFonts w:ascii="Times New Roman" w:hAnsi="Times New Roman" w:cs="Times New Roman"/>
        <w:sz w:val="24"/>
        <w:szCs w:val="24"/>
      </w:rPr>
      <w:t xml:space="preserve">Running Head: CRIMINOLOGY THEORY </w:t>
    </w:r>
    <w:r w:rsidRPr="00973607">
      <w:rPr>
        <w:rFonts w:ascii="Times New Roman" w:hAnsi="Times New Roman" w:cs="Times New Roman"/>
        <w:sz w:val="24"/>
        <w:szCs w:val="24"/>
      </w:rPr>
      <w:tab/>
    </w:r>
    <w:r w:rsidRPr="00973607">
      <w:rPr>
        <w:rFonts w:ascii="Times New Roman" w:hAnsi="Times New Roman" w:cs="Times New Roman"/>
        <w:sz w:val="24"/>
        <w:szCs w:val="24"/>
      </w:rPr>
      <w:tab/>
    </w:r>
    <w:sdt>
      <w:sdtPr>
        <w:rPr>
          <w:rFonts w:ascii="Times New Roman" w:hAnsi="Times New Roman" w:cs="Times New Roman"/>
          <w:sz w:val="24"/>
          <w:szCs w:val="24"/>
        </w:rPr>
        <w:id w:val="1808209685"/>
        <w:docPartObj>
          <w:docPartGallery w:val="Page Numbers (Top of Page)"/>
          <w:docPartUnique/>
        </w:docPartObj>
      </w:sdtPr>
      <w:sdtEndPr>
        <w:rPr>
          <w:noProof/>
        </w:rPr>
      </w:sdtEndPr>
      <w:sdtContent>
        <w:r w:rsidRPr="00973607">
          <w:rPr>
            <w:rFonts w:ascii="Times New Roman" w:hAnsi="Times New Roman" w:cs="Times New Roman"/>
            <w:sz w:val="24"/>
            <w:szCs w:val="24"/>
          </w:rPr>
          <w:fldChar w:fldCharType="begin"/>
        </w:r>
        <w:r w:rsidRPr="00973607">
          <w:rPr>
            <w:rFonts w:ascii="Times New Roman" w:hAnsi="Times New Roman" w:cs="Times New Roman"/>
            <w:sz w:val="24"/>
            <w:szCs w:val="24"/>
          </w:rPr>
          <w:instrText xml:space="preserve"> PAGE   \* MERGEFORMAT </w:instrText>
        </w:r>
        <w:r w:rsidRPr="00973607">
          <w:rPr>
            <w:rFonts w:ascii="Times New Roman" w:hAnsi="Times New Roman" w:cs="Times New Roman"/>
            <w:sz w:val="24"/>
            <w:szCs w:val="24"/>
          </w:rPr>
          <w:fldChar w:fldCharType="separate"/>
        </w:r>
        <w:r w:rsidR="00530DE3">
          <w:rPr>
            <w:rFonts w:ascii="Times New Roman" w:hAnsi="Times New Roman" w:cs="Times New Roman"/>
            <w:noProof/>
            <w:sz w:val="24"/>
            <w:szCs w:val="24"/>
          </w:rPr>
          <w:t>1</w:t>
        </w:r>
        <w:r w:rsidRPr="00973607">
          <w:rPr>
            <w:rFonts w:ascii="Times New Roman" w:hAnsi="Times New Roman" w:cs="Times New Roman"/>
            <w:noProof/>
            <w:sz w:val="24"/>
            <w:szCs w:val="24"/>
          </w:rPr>
          <w:fldChar w:fldCharType="end"/>
        </w:r>
      </w:sdtContent>
    </w:sdt>
  </w:p>
  <w:p w:rsidR="00973607" w:rsidRDefault="009736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A9A"/>
    <w:rsid w:val="0000605C"/>
    <w:rsid w:val="000D6F3D"/>
    <w:rsid w:val="001A6878"/>
    <w:rsid w:val="002B1E86"/>
    <w:rsid w:val="003551F4"/>
    <w:rsid w:val="003D6308"/>
    <w:rsid w:val="004A5A9A"/>
    <w:rsid w:val="00530DE3"/>
    <w:rsid w:val="005A5F3D"/>
    <w:rsid w:val="005D5651"/>
    <w:rsid w:val="005F6C5B"/>
    <w:rsid w:val="006310C3"/>
    <w:rsid w:val="00640939"/>
    <w:rsid w:val="00645F2A"/>
    <w:rsid w:val="00670DAF"/>
    <w:rsid w:val="006B2761"/>
    <w:rsid w:val="006D76C1"/>
    <w:rsid w:val="007C6B69"/>
    <w:rsid w:val="008B4EB1"/>
    <w:rsid w:val="00914844"/>
    <w:rsid w:val="009429DF"/>
    <w:rsid w:val="00945F36"/>
    <w:rsid w:val="009478DF"/>
    <w:rsid w:val="00973607"/>
    <w:rsid w:val="009C3B5F"/>
    <w:rsid w:val="00A22CEA"/>
    <w:rsid w:val="00B36A0D"/>
    <w:rsid w:val="00C014BB"/>
    <w:rsid w:val="00C938F7"/>
    <w:rsid w:val="00CD6417"/>
    <w:rsid w:val="00CF4055"/>
    <w:rsid w:val="00D10C47"/>
    <w:rsid w:val="00D9446B"/>
    <w:rsid w:val="00DB7BC2"/>
    <w:rsid w:val="00E817DF"/>
    <w:rsid w:val="00EB5695"/>
    <w:rsid w:val="00F47D4C"/>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8345"/>
  <w15:docId w15:val="{7402D89A-1B72-4DAB-B0D9-16AB5E16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73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607"/>
    <w:rPr>
      <w:rFonts w:ascii="Tahoma" w:hAnsi="Tahoma" w:cs="Tahoma"/>
      <w:sz w:val="16"/>
      <w:szCs w:val="16"/>
    </w:rPr>
  </w:style>
  <w:style w:type="paragraph" w:styleId="Header">
    <w:name w:val="header"/>
    <w:basedOn w:val="Normal"/>
    <w:link w:val="HeaderChar"/>
    <w:uiPriority w:val="99"/>
    <w:unhideWhenUsed/>
    <w:rsid w:val="00973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607"/>
  </w:style>
  <w:style w:type="paragraph" w:styleId="Footer">
    <w:name w:val="footer"/>
    <w:basedOn w:val="Normal"/>
    <w:link w:val="FooterChar"/>
    <w:uiPriority w:val="99"/>
    <w:unhideWhenUsed/>
    <w:rsid w:val="00973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2018-09-09T12:55:00Z</dcterms:created>
  <dcterms:modified xsi:type="dcterms:W3CDTF">2018-09-09T12:56:00Z</dcterms:modified>
</cp:coreProperties>
</file>