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8B7B5E" w14:textId="77777777" w:rsidR="00A77291" w:rsidRDefault="00A77291" w:rsidP="00A77291">
      <w:pPr>
        <w:spacing w:before="90" w:after="90" w:line="240" w:lineRule="auto"/>
        <w:outlineLvl w:val="1"/>
        <w:rPr>
          <w:rFonts w:ascii="&amp;quot" w:eastAsia="Times New Roman" w:hAnsi="&amp;quot"/>
          <w:color w:val="002664"/>
          <w:sz w:val="43"/>
          <w:szCs w:val="43"/>
        </w:rPr>
      </w:pPr>
    </w:p>
    <w:p w14:paraId="60CC3205" w14:textId="23846AE6" w:rsidR="00A77291" w:rsidRDefault="00A77291" w:rsidP="00A77291">
      <w:pPr>
        <w:spacing w:before="90" w:after="90" w:line="240" w:lineRule="auto"/>
        <w:outlineLvl w:val="1"/>
        <w:rPr>
          <w:rFonts w:ascii="&amp;quot" w:eastAsia="Times New Roman" w:hAnsi="&amp;quot"/>
          <w:color w:val="002664"/>
          <w:sz w:val="43"/>
          <w:szCs w:val="43"/>
        </w:rPr>
      </w:pPr>
      <w:r>
        <w:rPr>
          <w:rFonts w:ascii="Lato" w:hAnsi="Lato"/>
          <w:color w:val="2D3B45"/>
          <w:sz w:val="43"/>
          <w:szCs w:val="43"/>
          <w:shd w:val="clear" w:color="auto" w:fill="FFFFFF"/>
        </w:rPr>
        <w:t xml:space="preserve">Week 6 </w:t>
      </w:r>
      <w:r>
        <w:rPr>
          <w:rFonts w:ascii="Lato" w:hAnsi="Lato"/>
          <w:color w:val="2D3B45"/>
          <w:sz w:val="43"/>
          <w:szCs w:val="43"/>
          <w:shd w:val="clear" w:color="auto" w:fill="FFFFFF"/>
        </w:rPr>
        <w:t>–</w:t>
      </w:r>
      <w:r>
        <w:rPr>
          <w:rFonts w:ascii="Lato" w:hAnsi="Lato"/>
          <w:color w:val="2D3B45"/>
          <w:sz w:val="43"/>
          <w:szCs w:val="43"/>
          <w:shd w:val="clear" w:color="auto" w:fill="FFFFFF"/>
        </w:rPr>
        <w:t xml:space="preserve"> Journal</w:t>
      </w:r>
      <w:r>
        <w:rPr>
          <w:rFonts w:ascii="Lato" w:hAnsi="Lato"/>
          <w:color w:val="2D3B45"/>
          <w:sz w:val="43"/>
          <w:szCs w:val="43"/>
          <w:shd w:val="clear" w:color="auto" w:fill="FFFFFF"/>
        </w:rPr>
        <w:t xml:space="preserve"> HUM</w:t>
      </w:r>
    </w:p>
    <w:p w14:paraId="3772D7B0" w14:textId="6A087061" w:rsidR="00A77291" w:rsidRPr="00A77291" w:rsidRDefault="00A77291" w:rsidP="00A77291">
      <w:pPr>
        <w:spacing w:before="90" w:after="90" w:line="240" w:lineRule="auto"/>
        <w:outlineLvl w:val="1"/>
        <w:rPr>
          <w:rFonts w:ascii="&amp;quot" w:eastAsia="Times New Roman" w:hAnsi="&amp;quot"/>
          <w:color w:val="002664"/>
          <w:sz w:val="43"/>
          <w:szCs w:val="43"/>
        </w:rPr>
      </w:pPr>
      <w:r w:rsidRPr="00A77291">
        <w:rPr>
          <w:rFonts w:ascii="&amp;quot" w:eastAsia="Times New Roman" w:hAnsi="&amp;quot"/>
          <w:color w:val="002664"/>
          <w:sz w:val="43"/>
          <w:szCs w:val="43"/>
        </w:rPr>
        <w:t xml:space="preserve">Design a Personal Self-Care </w:t>
      </w:r>
    </w:p>
    <w:p w14:paraId="4BC94CD5" w14:textId="2F7A7A93" w:rsidR="00A77291" w:rsidRPr="00A77291" w:rsidRDefault="00A77291" w:rsidP="00A77291">
      <w:pPr>
        <w:spacing w:after="0" w:line="240" w:lineRule="auto"/>
        <w:rPr>
          <w:rFonts w:ascii="&amp;quot" w:eastAsia="Times New Roman" w:hAnsi="&amp;quot"/>
          <w:color w:val="2D3B45"/>
          <w:szCs w:val="24"/>
        </w:rPr>
      </w:pPr>
      <w:r w:rsidRPr="00A77291">
        <w:rPr>
          <w:rFonts w:ascii="&amp;quot" w:eastAsia="Times New Roman" w:hAnsi="&amp;quot"/>
          <w:color w:val="2D3B45"/>
          <w:szCs w:val="24"/>
        </w:rPr>
        <w:t xml:space="preserve">Prior to beginning work on this Journal, read The Importance of Self-Care in the Epilogue in your text and </w:t>
      </w:r>
      <w:hyperlink r:id="rId4" w:tgtFrame="_blank" w:history="1">
        <w:r w:rsidRPr="00A77291">
          <w:rPr>
            <w:rFonts w:ascii="&amp;quot" w:eastAsia="Times New Roman" w:hAnsi="&amp;quot"/>
            <w:color w:val="8C2E6D"/>
            <w:szCs w:val="24"/>
            <w:u w:val="single"/>
          </w:rPr>
          <w:t>Self-Care in The World of Empirically Supported Treatments</w:t>
        </w:r>
        <w:r w:rsidRPr="00A77291">
          <w:rPr>
            <w:rFonts w:ascii="&amp;quot" w:eastAsia="Times New Roman" w:hAnsi="&amp;quot"/>
            <w:color w:val="8C2E6D"/>
            <w:szCs w:val="24"/>
            <w:bdr w:val="none" w:sz="0" w:space="0" w:color="auto" w:frame="1"/>
          </w:rPr>
          <w:t xml:space="preserve"> (Links to an </w:t>
        </w:r>
        <w:r w:rsidR="00F974FE">
          <w:rPr>
            <w:rFonts w:ascii="&amp;quot" w:eastAsia="Times New Roman" w:hAnsi="&amp;quot"/>
            <w:color w:val="8C2E6D"/>
            <w:szCs w:val="24"/>
            <w:bdr w:val="none" w:sz="0" w:space="0" w:color="auto" w:frame="1"/>
          </w:rPr>
          <w:t xml:space="preserve"> </w:t>
        </w:r>
        <w:r w:rsidRPr="00A77291">
          <w:rPr>
            <w:rFonts w:ascii="&amp;quot" w:eastAsia="Times New Roman" w:hAnsi="&amp;quot"/>
            <w:color w:val="8C2E6D"/>
            <w:szCs w:val="24"/>
            <w:bdr w:val="none" w:sz="0" w:space="0" w:color="auto" w:frame="1"/>
          </w:rPr>
          <w:t>external site.)</w:t>
        </w:r>
      </w:hyperlink>
      <w:r w:rsidRPr="00A77291">
        <w:rPr>
          <w:rFonts w:ascii="&amp;quot" w:eastAsia="Times New Roman" w:hAnsi="&amp;quot"/>
          <w:color w:val="2D3B45"/>
          <w:szCs w:val="24"/>
        </w:rPr>
        <w:t>. Locate, read, and cite a credible article on burnout in the helping professions. What are some signs to watch for when working in the helping professions that might indicate that you or a colleague may be experiencing burnout? Describe your self-care plan to help alleviate stress and ward off burnout while working in the field of human services? (Note: this is your self-care plan; write as much as you need). Your journal entry should be at least 300 words long.</w:t>
      </w:r>
    </w:p>
    <w:p w14:paraId="64674F33" w14:textId="1EAA7AB6" w:rsidR="00FA5AFD" w:rsidRDefault="00FA5AFD">
      <w:bookmarkStart w:id="0" w:name="_GoBack"/>
      <w:bookmarkEnd w:id="0"/>
    </w:p>
    <w:p w14:paraId="0D326C0A" w14:textId="68D1060B" w:rsidR="00A759A4" w:rsidRPr="009E1ED1" w:rsidRDefault="00A759A4">
      <w:pPr>
        <w:rPr>
          <w:sz w:val="36"/>
          <w:szCs w:val="36"/>
        </w:rPr>
      </w:pPr>
      <w:r w:rsidRPr="009E1ED1">
        <w:rPr>
          <w:sz w:val="36"/>
          <w:szCs w:val="36"/>
        </w:rPr>
        <w:t xml:space="preserve">Note: </w:t>
      </w:r>
      <w:r w:rsidR="009E1ED1">
        <w:rPr>
          <w:sz w:val="36"/>
          <w:szCs w:val="36"/>
        </w:rPr>
        <w:t xml:space="preserve">copy and past the resources on </w:t>
      </w:r>
      <w:r w:rsidR="009E1ED1" w:rsidRPr="009E1ED1">
        <w:rPr>
          <w:sz w:val="36"/>
          <w:szCs w:val="36"/>
        </w:rPr>
        <w:t>google scholar</w:t>
      </w:r>
      <w:r w:rsidR="009E1ED1">
        <w:rPr>
          <w:sz w:val="36"/>
          <w:szCs w:val="36"/>
        </w:rPr>
        <w:t xml:space="preserve"> then you we be able to read the articles.</w:t>
      </w:r>
    </w:p>
    <w:p w14:paraId="30A175DC" w14:textId="77777777" w:rsidR="00A77291" w:rsidRPr="00A90D4A" w:rsidRDefault="00A77291" w:rsidP="00A77291">
      <w:pPr>
        <w:spacing w:before="180" w:after="180" w:line="240" w:lineRule="auto"/>
        <w:rPr>
          <w:rFonts w:eastAsia="Times New Roman"/>
          <w:color w:val="2D3B45"/>
          <w:sz w:val="36"/>
          <w:szCs w:val="36"/>
        </w:rPr>
      </w:pPr>
      <w:r w:rsidRPr="00A90D4A">
        <w:rPr>
          <w:rFonts w:eastAsia="Times New Roman"/>
          <w:color w:val="2D3B45"/>
          <w:sz w:val="36"/>
          <w:szCs w:val="36"/>
        </w:rPr>
        <w:t>Required Resources</w:t>
      </w:r>
    </w:p>
    <w:p w14:paraId="3D333996" w14:textId="77777777" w:rsidR="00A77291" w:rsidRPr="00A90D4A" w:rsidRDefault="00A77291" w:rsidP="00A77291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A90D4A">
        <w:rPr>
          <w:rFonts w:ascii="&amp;quot" w:eastAsia="Times New Roman" w:hAnsi="&amp;quot"/>
          <w:color w:val="2D3B45"/>
          <w:szCs w:val="24"/>
        </w:rPr>
        <w:t>Text</w:t>
      </w:r>
    </w:p>
    <w:p w14:paraId="713516F7" w14:textId="77777777" w:rsidR="00A77291" w:rsidRPr="00A90D4A" w:rsidRDefault="00A77291" w:rsidP="00A77291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A90D4A">
        <w:rPr>
          <w:rFonts w:ascii="&amp;quot" w:eastAsia="Times New Roman" w:hAnsi="&amp;quot"/>
          <w:color w:val="2D3B45"/>
          <w:szCs w:val="24"/>
        </w:rPr>
        <w:t>Martin, M. E. (2018). Introduction to human services: Through the eyes of practice settings (4th ed.). Pearson.</w:t>
      </w:r>
    </w:p>
    <w:p w14:paraId="1CBEFC04" w14:textId="77777777" w:rsidR="00A77291" w:rsidRPr="00A90D4A" w:rsidRDefault="00A77291" w:rsidP="00A77291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A90D4A">
        <w:rPr>
          <w:rFonts w:ascii="&amp;quot" w:eastAsia="Times New Roman" w:hAnsi="&amp;quot"/>
          <w:color w:val="2D3B45"/>
          <w:szCs w:val="24"/>
        </w:rPr>
        <w:t>Chapter 14: Rural Human Services</w:t>
      </w:r>
    </w:p>
    <w:p w14:paraId="65D6E9B6" w14:textId="77777777" w:rsidR="00A77291" w:rsidRPr="00A90D4A" w:rsidRDefault="00A77291" w:rsidP="00A77291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A90D4A">
        <w:rPr>
          <w:rFonts w:ascii="&amp;quot" w:eastAsia="Times New Roman" w:hAnsi="&amp;quot"/>
          <w:color w:val="2D3B45"/>
          <w:szCs w:val="24"/>
        </w:rPr>
        <w:t>Chapter 15: International Human Services</w:t>
      </w:r>
    </w:p>
    <w:p w14:paraId="00D0D72B" w14:textId="77777777" w:rsidR="00A77291" w:rsidRPr="00A90D4A" w:rsidRDefault="00A77291" w:rsidP="00A77291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A90D4A">
        <w:rPr>
          <w:rFonts w:ascii="&amp;quot" w:eastAsia="Times New Roman" w:hAnsi="&amp;quot"/>
          <w:color w:val="2D3B45"/>
          <w:szCs w:val="24"/>
        </w:rPr>
        <w:t>Epilogue: The Future of Human Services: New Opportunities</w:t>
      </w:r>
    </w:p>
    <w:p w14:paraId="66DB3D3F" w14:textId="77777777" w:rsidR="00A77291" w:rsidRPr="00A90D4A" w:rsidRDefault="00A77291" w:rsidP="00A77291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A90D4A">
        <w:rPr>
          <w:rFonts w:ascii="&amp;quot" w:eastAsia="Times New Roman" w:hAnsi="&amp;quot"/>
          <w:color w:val="2D3B45"/>
          <w:szCs w:val="24"/>
        </w:rPr>
        <w:t xml:space="preserve">The full-text version of this </w:t>
      </w:r>
      <w:proofErr w:type="spellStart"/>
      <w:r w:rsidRPr="00A90D4A">
        <w:rPr>
          <w:rFonts w:ascii="&amp;quot" w:eastAsia="Times New Roman" w:hAnsi="&amp;quot"/>
          <w:color w:val="2D3B45"/>
          <w:szCs w:val="24"/>
        </w:rPr>
        <w:t>ebook</w:t>
      </w:r>
      <w:proofErr w:type="spellEnd"/>
      <w:r w:rsidRPr="00A90D4A">
        <w:rPr>
          <w:rFonts w:ascii="&amp;quot" w:eastAsia="Times New Roman" w:hAnsi="&amp;quot"/>
          <w:color w:val="2D3B45"/>
          <w:szCs w:val="24"/>
        </w:rPr>
        <w:t xml:space="preserve"> is available through your online classroom through the </w:t>
      </w:r>
      <w:proofErr w:type="spellStart"/>
      <w:r w:rsidRPr="00A90D4A">
        <w:rPr>
          <w:rFonts w:ascii="&amp;quot" w:eastAsia="Times New Roman" w:hAnsi="&amp;quot"/>
          <w:color w:val="2D3B45"/>
          <w:szCs w:val="24"/>
        </w:rPr>
        <w:t>Redshelf</w:t>
      </w:r>
      <w:proofErr w:type="spellEnd"/>
      <w:r w:rsidRPr="00A90D4A">
        <w:rPr>
          <w:rFonts w:ascii="&amp;quot" w:eastAsia="Times New Roman" w:hAnsi="&amp;quot"/>
          <w:color w:val="2D3B45"/>
          <w:szCs w:val="24"/>
        </w:rPr>
        <w:t xml:space="preserve"> platform. This book is an introductory textbook outlining the broad discipline of human services. Chapter 14 will assist you in your Serving Rural Communities discussion forum and the My Future as a Human Services Professional Final Paper this week. Chapter 15 will assist you in your International Human Services learning activity and the My Future as a Human Services Professional Final Paper this week. The Epilogue will assist you in your Design a Personal Self-Care Plan journal and the My Future as a Human Services Professional Final Paper this week.</w:t>
      </w:r>
    </w:p>
    <w:p w14:paraId="03C995AC" w14:textId="77777777" w:rsidR="00A77291" w:rsidRPr="00A90D4A" w:rsidRDefault="00A77291" w:rsidP="00A77291">
      <w:pPr>
        <w:spacing w:before="180" w:after="180" w:line="240" w:lineRule="auto"/>
        <w:rPr>
          <w:rFonts w:ascii="&amp;quot" w:eastAsia="Times New Roman" w:hAnsi="&amp;quot"/>
          <w:color w:val="2D3B45"/>
          <w:sz w:val="32"/>
          <w:szCs w:val="32"/>
        </w:rPr>
      </w:pPr>
      <w:r w:rsidRPr="00A90D4A">
        <w:rPr>
          <w:rFonts w:ascii="&amp;quot" w:eastAsia="Times New Roman" w:hAnsi="&amp;quot"/>
          <w:color w:val="2D3B45"/>
          <w:sz w:val="32"/>
          <w:szCs w:val="32"/>
        </w:rPr>
        <w:t>Articles</w:t>
      </w:r>
    </w:p>
    <w:p w14:paraId="677FA91F" w14:textId="77777777" w:rsidR="00A77291" w:rsidRPr="00A90D4A" w:rsidRDefault="00A77291" w:rsidP="00A77291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A90D4A">
        <w:rPr>
          <w:rFonts w:ascii="&amp;quot" w:eastAsia="Times New Roman" w:hAnsi="&amp;quot"/>
          <w:color w:val="2D3B45"/>
          <w:szCs w:val="24"/>
        </w:rPr>
        <w:t xml:space="preserve">Miller, S. E., Tice, C. J., &amp; </w:t>
      </w:r>
      <w:proofErr w:type="spellStart"/>
      <w:r w:rsidRPr="00A90D4A">
        <w:rPr>
          <w:rFonts w:ascii="&amp;quot" w:eastAsia="Times New Roman" w:hAnsi="&amp;quot"/>
          <w:color w:val="2D3B45"/>
          <w:szCs w:val="24"/>
        </w:rPr>
        <w:t>Harnek</w:t>
      </w:r>
      <w:proofErr w:type="spellEnd"/>
      <w:r w:rsidRPr="00A90D4A">
        <w:rPr>
          <w:rFonts w:ascii="&amp;quot" w:eastAsia="Times New Roman" w:hAnsi="&amp;quot"/>
          <w:color w:val="2D3B45"/>
          <w:szCs w:val="24"/>
        </w:rPr>
        <w:t xml:space="preserve"> Hall, D. M. (2008). The generalist model: Where do the micro and macro converge?</w:t>
      </w:r>
    </w:p>
    <w:p w14:paraId="2787E899" w14:textId="77777777" w:rsidR="00A77291" w:rsidRPr="00A90D4A" w:rsidRDefault="00A77291" w:rsidP="00A77291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A90D4A">
        <w:rPr>
          <w:rFonts w:ascii="&amp;quot" w:eastAsia="Times New Roman" w:hAnsi="&amp;quot"/>
          <w:color w:val="2D3B45"/>
          <w:szCs w:val="24"/>
        </w:rPr>
        <w:t xml:space="preserve"> Advances in Social Work, 9(2), 80–90. https://doi.org/10.18060/203</w:t>
      </w:r>
    </w:p>
    <w:p w14:paraId="23F3035C" w14:textId="77777777" w:rsidR="00A77291" w:rsidRPr="00A90D4A" w:rsidRDefault="00A77291" w:rsidP="00A77291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A90D4A">
        <w:rPr>
          <w:rFonts w:ascii="&amp;quot" w:eastAsia="Times New Roman" w:hAnsi="&amp;quot"/>
          <w:color w:val="2D3B45"/>
          <w:szCs w:val="24"/>
        </w:rPr>
        <w:lastRenderedPageBreak/>
        <w:t>This article provides information about the generalist model in human services and will assist you in your International Human Services learning activity and the My Future as a Human Services Professional Final Paper this week.</w:t>
      </w:r>
    </w:p>
    <w:p w14:paraId="03CC780E" w14:textId="77777777" w:rsidR="00A77291" w:rsidRPr="00A90D4A" w:rsidRDefault="00A77291" w:rsidP="00A77291">
      <w:pPr>
        <w:spacing w:before="180" w:after="180" w:line="240" w:lineRule="auto"/>
        <w:rPr>
          <w:rFonts w:ascii="&amp;quot" w:eastAsia="Times New Roman" w:hAnsi="&amp;quot"/>
          <w:color w:val="2D3B45"/>
          <w:sz w:val="32"/>
          <w:szCs w:val="32"/>
        </w:rPr>
      </w:pPr>
      <w:r w:rsidRPr="00A90D4A">
        <w:rPr>
          <w:rFonts w:ascii="&amp;quot" w:eastAsia="Times New Roman" w:hAnsi="&amp;quot"/>
          <w:color w:val="2D3B45"/>
          <w:sz w:val="32"/>
          <w:szCs w:val="32"/>
        </w:rPr>
        <w:t>Recommended Resources</w:t>
      </w:r>
    </w:p>
    <w:p w14:paraId="562670EC" w14:textId="77777777" w:rsidR="00A77291" w:rsidRPr="00A90D4A" w:rsidRDefault="00A77291" w:rsidP="00A77291">
      <w:pPr>
        <w:spacing w:before="180" w:after="180" w:line="240" w:lineRule="auto"/>
        <w:rPr>
          <w:rFonts w:ascii="&amp;quot" w:eastAsia="Times New Roman" w:hAnsi="&amp;quot"/>
          <w:color w:val="2D3B45"/>
          <w:sz w:val="32"/>
          <w:szCs w:val="32"/>
        </w:rPr>
      </w:pPr>
      <w:r w:rsidRPr="00A90D4A">
        <w:rPr>
          <w:rFonts w:ascii="&amp;quot" w:eastAsia="Times New Roman" w:hAnsi="&amp;quot"/>
          <w:color w:val="2D3B45"/>
          <w:sz w:val="32"/>
          <w:szCs w:val="32"/>
        </w:rPr>
        <w:t>Articles</w:t>
      </w:r>
    </w:p>
    <w:p w14:paraId="0D23B5AA" w14:textId="77777777" w:rsidR="00A77291" w:rsidRPr="00A90D4A" w:rsidRDefault="00A77291" w:rsidP="00A77291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A90D4A">
        <w:rPr>
          <w:rFonts w:ascii="&amp;quot" w:eastAsia="Times New Roman" w:hAnsi="&amp;quot"/>
          <w:color w:val="2D3B45"/>
          <w:szCs w:val="24"/>
        </w:rPr>
        <w:t xml:space="preserve">Oliveira, C., </w:t>
      </w:r>
      <w:proofErr w:type="spellStart"/>
      <w:r w:rsidRPr="00A90D4A">
        <w:rPr>
          <w:rFonts w:ascii="&amp;quot" w:eastAsia="Times New Roman" w:hAnsi="&amp;quot"/>
          <w:color w:val="2D3B45"/>
          <w:szCs w:val="24"/>
        </w:rPr>
        <w:t>Keygnaert</w:t>
      </w:r>
      <w:proofErr w:type="spellEnd"/>
      <w:r w:rsidRPr="00A90D4A">
        <w:rPr>
          <w:rFonts w:ascii="&amp;quot" w:eastAsia="Times New Roman" w:hAnsi="&amp;quot"/>
          <w:color w:val="2D3B45"/>
          <w:szCs w:val="24"/>
        </w:rPr>
        <w:t>, I., Oliveira Martins, M. do R., &amp; Dias, S. (2018). Assessing reported cases of sexual and gender-based violence, causes and preventive strategies, in European asylum reception facilities. Globalization &amp; Health, 14(1), 48–59. https://doi.org/10.1186/s12992-018-0365-6</w:t>
      </w:r>
    </w:p>
    <w:p w14:paraId="270D6C28" w14:textId="77777777" w:rsidR="00A77291" w:rsidRPr="00A90D4A" w:rsidRDefault="00A77291" w:rsidP="00A77291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A90D4A">
        <w:rPr>
          <w:rFonts w:ascii="&amp;quot" w:eastAsia="Times New Roman" w:hAnsi="&amp;quot"/>
          <w:color w:val="2D3B45"/>
          <w:szCs w:val="24"/>
        </w:rPr>
        <w:t>Thompson, J., &amp; Haley, M. (2018). Human trafficking: Preparing counselors to work with survivors. International Journal for the Advancement of Counselling, 40(3), 298–309. https://doi.org/10.1007/s10447-018-9327-1</w:t>
      </w:r>
    </w:p>
    <w:p w14:paraId="614F68F1" w14:textId="77777777" w:rsidR="00A77291" w:rsidRPr="00A90D4A" w:rsidRDefault="00A77291" w:rsidP="00A77291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proofErr w:type="spellStart"/>
      <w:r w:rsidRPr="00C27394">
        <w:rPr>
          <w:rFonts w:ascii="&amp;quot" w:eastAsia="Times New Roman" w:hAnsi="&amp;quot"/>
          <w:color w:val="2D3B45"/>
          <w:szCs w:val="24"/>
          <w:highlight w:val="yellow"/>
        </w:rPr>
        <w:t>Wagaman</w:t>
      </w:r>
      <w:proofErr w:type="spellEnd"/>
      <w:r w:rsidRPr="00C27394">
        <w:rPr>
          <w:rFonts w:ascii="&amp;quot" w:eastAsia="Times New Roman" w:hAnsi="&amp;quot"/>
          <w:color w:val="2D3B45"/>
          <w:szCs w:val="24"/>
          <w:highlight w:val="yellow"/>
        </w:rPr>
        <w:t>, M. A., Geiger, J. M., Shockley, C., &amp; Segal, E. A. (2015). The role of empathy in burnout, compassion satisfaction, and secondary traumatic stress among social workers. Social Work, 60(3), 201–209. https://doi.org/10.1093/sw/swv014</w:t>
      </w:r>
    </w:p>
    <w:p w14:paraId="3E79E1B5" w14:textId="77777777" w:rsidR="00A77291" w:rsidRPr="00A90D4A" w:rsidRDefault="00A77291" w:rsidP="00A77291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A90D4A">
        <w:rPr>
          <w:rFonts w:ascii="&amp;quot" w:eastAsia="Times New Roman" w:hAnsi="&amp;quot"/>
          <w:color w:val="2D3B45"/>
          <w:szCs w:val="24"/>
        </w:rPr>
        <w:t>The full-text version of this article is available through the CINAHL Complete database in the Ashford University Library. This article provides information about burnout and may assist you in your Design a Personal Self-Care Plan journal this week.</w:t>
      </w:r>
    </w:p>
    <w:p w14:paraId="64D4B5C4" w14:textId="77777777" w:rsidR="00A77291" w:rsidRPr="00B322C8" w:rsidRDefault="00A77291" w:rsidP="00A77291">
      <w:pPr>
        <w:spacing w:before="180" w:after="180" w:line="240" w:lineRule="auto"/>
        <w:rPr>
          <w:rFonts w:ascii="&amp;quot" w:eastAsia="Times New Roman" w:hAnsi="&amp;quot"/>
          <w:color w:val="2D3B45"/>
          <w:sz w:val="28"/>
          <w:szCs w:val="28"/>
        </w:rPr>
      </w:pPr>
      <w:r w:rsidRPr="00B322C8">
        <w:rPr>
          <w:rFonts w:ascii="&amp;quot" w:eastAsia="Times New Roman" w:hAnsi="&amp;quot"/>
          <w:color w:val="2D3B45"/>
          <w:sz w:val="28"/>
          <w:szCs w:val="28"/>
        </w:rPr>
        <w:t>Webpage</w:t>
      </w:r>
    </w:p>
    <w:p w14:paraId="4F4E1850" w14:textId="77777777" w:rsidR="00A77291" w:rsidRPr="00A90D4A" w:rsidRDefault="00A77291" w:rsidP="00A77291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A90D4A">
        <w:rPr>
          <w:rFonts w:ascii="&amp;quot" w:eastAsia="Times New Roman" w:hAnsi="&amp;quot"/>
          <w:color w:val="2D3B45"/>
          <w:szCs w:val="24"/>
        </w:rPr>
        <w:t xml:space="preserve">USC Suzanne </w:t>
      </w:r>
      <w:proofErr w:type="spellStart"/>
      <w:r w:rsidRPr="00A90D4A">
        <w:rPr>
          <w:rFonts w:ascii="&amp;quot" w:eastAsia="Times New Roman" w:hAnsi="&amp;quot"/>
          <w:color w:val="2D3B45"/>
          <w:szCs w:val="24"/>
        </w:rPr>
        <w:t>Dworak</w:t>
      </w:r>
      <w:proofErr w:type="spellEnd"/>
      <w:r w:rsidRPr="00A90D4A">
        <w:rPr>
          <w:rFonts w:ascii="&amp;quot" w:eastAsia="Times New Roman" w:hAnsi="&amp;quot"/>
          <w:color w:val="2D3B45"/>
          <w:szCs w:val="24"/>
        </w:rPr>
        <w:t>-Peck School of Social Work. (2019, June 25). How social workers can prioritize self-care in high stress working environments</w:t>
      </w:r>
    </w:p>
    <w:p w14:paraId="0207956D" w14:textId="77777777" w:rsidR="00A77291" w:rsidRPr="00A90D4A" w:rsidRDefault="00A77291" w:rsidP="00A77291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A90D4A">
        <w:rPr>
          <w:rFonts w:ascii="&amp;quot" w:eastAsia="Times New Roman" w:hAnsi="&amp;quot"/>
          <w:color w:val="2D3B45"/>
          <w:szCs w:val="24"/>
        </w:rPr>
        <w:t>. https://dworakpeck.usc.edu/news/how-social-workers-can-prioritize-self-care-high-stress-working-environments</w:t>
      </w:r>
    </w:p>
    <w:p w14:paraId="77FC1A56" w14:textId="77777777" w:rsidR="00A77291" w:rsidRPr="00A90D4A" w:rsidRDefault="00A77291" w:rsidP="00A77291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A90D4A">
        <w:rPr>
          <w:rFonts w:ascii="&amp;quot" w:eastAsia="Times New Roman" w:hAnsi="&amp;quot"/>
          <w:color w:val="2D3B45"/>
          <w:szCs w:val="24"/>
        </w:rPr>
        <w:t>This webpage provides information about the importance of self-care and may assist you in your Design a Personal Self-Care Plan journal this week.</w:t>
      </w:r>
    </w:p>
    <w:p w14:paraId="1D8B47BD" w14:textId="77777777" w:rsidR="00A77291" w:rsidRDefault="00A77291" w:rsidP="00A77291"/>
    <w:p w14:paraId="034BD6D6" w14:textId="77777777" w:rsidR="00A77291" w:rsidRDefault="00A77291" w:rsidP="00A77291">
      <w:pPr>
        <w:pStyle w:val="NormalWeb"/>
        <w:spacing w:before="180" w:beforeAutospacing="0" w:after="180" w:afterAutospacing="0"/>
        <w:rPr>
          <w:rFonts w:ascii="&amp;quot" w:hAnsi="&amp;quot"/>
          <w:color w:val="2D3B45"/>
        </w:rPr>
      </w:pPr>
    </w:p>
    <w:p w14:paraId="0F7D7390" w14:textId="77777777" w:rsidR="00A77291" w:rsidRDefault="00A77291" w:rsidP="00A77291"/>
    <w:p w14:paraId="6490B71B" w14:textId="77777777" w:rsidR="00A77291" w:rsidRDefault="00A77291"/>
    <w:sectPr w:rsidR="00A772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Lato">
    <w:altName w:val="Segoe U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291"/>
    <w:rsid w:val="0082192F"/>
    <w:rsid w:val="009E1ED1"/>
    <w:rsid w:val="00A759A4"/>
    <w:rsid w:val="00A77291"/>
    <w:rsid w:val="00C27394"/>
    <w:rsid w:val="00F974FE"/>
    <w:rsid w:val="00FA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FF63B"/>
  <w15:chartTrackingRefBased/>
  <w15:docId w15:val="{892499A7-E37D-449E-9F8E-F3392FF62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77291"/>
    <w:pPr>
      <w:spacing w:before="100" w:beforeAutospacing="1" w:after="100" w:afterAutospacing="1" w:line="240" w:lineRule="auto"/>
    </w:pPr>
    <w:rPr>
      <w:rFonts w:eastAsia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9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t.counseling.org/2015/05/self-care-in-the-world-of-empirically-supported-treatm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favour aina</dc:creator>
  <cp:keywords/>
  <dc:description/>
  <cp:lastModifiedBy>favour aina</cp:lastModifiedBy>
  <cp:revision>3</cp:revision>
  <dcterms:created xsi:type="dcterms:W3CDTF">2020-06-08T16:39:00Z</dcterms:created>
  <dcterms:modified xsi:type="dcterms:W3CDTF">2020-06-12T12:21:00Z</dcterms:modified>
</cp:coreProperties>
</file>