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CD43E4" w14:textId="24151341" w:rsidR="00F43EDE" w:rsidRDefault="00F43EDE" w:rsidP="00F43EDE">
      <w:pPr>
        <w:spacing w:before="90" w:after="90" w:line="240" w:lineRule="auto"/>
        <w:outlineLvl w:val="1"/>
        <w:rPr>
          <w:rFonts w:ascii="&amp;quot" w:eastAsia="Times New Roman" w:hAnsi="&amp;quot"/>
          <w:color w:val="002664"/>
          <w:sz w:val="43"/>
          <w:szCs w:val="43"/>
        </w:rPr>
      </w:pPr>
      <w:r>
        <w:rPr>
          <w:rFonts w:ascii="&amp;quot" w:eastAsia="Times New Roman" w:hAnsi="&amp;quot"/>
          <w:color w:val="002664"/>
          <w:sz w:val="43"/>
          <w:szCs w:val="43"/>
        </w:rPr>
        <w:t>Journal 4 Hum</w:t>
      </w:r>
    </w:p>
    <w:p w14:paraId="296B7AB7" w14:textId="77777777" w:rsidR="00F43EDE" w:rsidRDefault="00F43EDE" w:rsidP="00F43EDE">
      <w:pPr>
        <w:spacing w:before="90" w:after="90" w:line="240" w:lineRule="auto"/>
        <w:outlineLvl w:val="1"/>
        <w:rPr>
          <w:rFonts w:ascii="&amp;quot" w:eastAsia="Times New Roman" w:hAnsi="&amp;quot"/>
          <w:color w:val="002664"/>
          <w:sz w:val="43"/>
          <w:szCs w:val="43"/>
        </w:rPr>
      </w:pPr>
    </w:p>
    <w:p w14:paraId="29C15163" w14:textId="43B24770" w:rsidR="00F52B9F" w:rsidRPr="00F43EDE" w:rsidRDefault="00F52B9F" w:rsidP="00F43EDE">
      <w:pPr>
        <w:spacing w:before="90" w:after="90" w:line="240" w:lineRule="auto"/>
        <w:outlineLvl w:val="1"/>
        <w:rPr>
          <w:rFonts w:ascii="&amp;quot" w:eastAsia="Times New Roman" w:hAnsi="&amp;quot"/>
          <w:color w:val="002664"/>
          <w:sz w:val="43"/>
          <w:szCs w:val="43"/>
        </w:rPr>
      </w:pPr>
      <w:r w:rsidRPr="00F52B9F">
        <w:rPr>
          <w:rFonts w:ascii="&amp;quot" w:eastAsia="Times New Roman" w:hAnsi="&amp;quot"/>
          <w:color w:val="002664"/>
          <w:sz w:val="43"/>
          <w:szCs w:val="43"/>
        </w:rPr>
        <w:t>Working with a Victim of Sexual Offenses or Violent Crime or Offender</w:t>
      </w:r>
    </w:p>
    <w:p w14:paraId="1C16AAEB" w14:textId="5E758AE5" w:rsidR="00B32AE6" w:rsidRDefault="00F43EDE">
      <w:pPr>
        <w:rPr>
          <w:rFonts w:ascii="Lato" w:hAnsi="Lato"/>
          <w:color w:val="2D3B45"/>
          <w:shd w:val="clear" w:color="auto" w:fill="FFFFFF"/>
        </w:rPr>
      </w:pPr>
      <w:r>
        <w:rPr>
          <w:rStyle w:val="Emphasis"/>
          <w:rFonts w:ascii="&amp;quot" w:hAnsi="&amp;quot"/>
          <w:color w:val="2D3B45"/>
        </w:rPr>
        <w:t>Working with a Victim of Sexual Offenses or Violent Crime or Offender</w:t>
      </w:r>
      <w:r>
        <w:rPr>
          <w:rFonts w:ascii="Lato" w:hAnsi="Lato"/>
          <w:color w:val="2D3B45"/>
          <w:shd w:val="clear" w:color="auto" w:fill="FFFFFF"/>
        </w:rPr>
        <w:t>. Prior to beginning work on this learning activity, read Chapter 13 in the required text. Locate a job description in a local, regional, or national job search engine that advertises a human services-related position working with either victims of sexual offenses or violent crime or working with the offenders of one or both of these crimes. Reflecting on your personality, life experiences, and skill sets, which would you be more comfortable working with (either directly or indirectly) as a human services professional: Victim or offender? Explain your conclusions. This journal should contain between 300 and 500 words. Please include the job posting link and copied and pasted job description with your submission.</w:t>
      </w:r>
    </w:p>
    <w:p w14:paraId="5E5E4E87" w14:textId="62F77AFD" w:rsidR="00F43EDE" w:rsidRDefault="00F43EDE">
      <w:pPr>
        <w:rPr>
          <w:rFonts w:ascii="Lato" w:hAnsi="Lato"/>
          <w:color w:val="2D3B45"/>
          <w:shd w:val="clear" w:color="auto" w:fill="FFFFFF"/>
        </w:rPr>
      </w:pPr>
    </w:p>
    <w:p w14:paraId="47ED1075"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b/>
          <w:bCs/>
          <w:color w:val="2D3B45"/>
          <w:szCs w:val="24"/>
        </w:rPr>
        <w:t xml:space="preserve">Required Resources </w:t>
      </w:r>
    </w:p>
    <w:p w14:paraId="6C9D34D0"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color w:val="2D3B45"/>
          <w:szCs w:val="24"/>
          <w:u w:val="single"/>
        </w:rPr>
        <w:t xml:space="preserve">Text </w:t>
      </w:r>
    </w:p>
    <w:p w14:paraId="6600075F"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color w:val="2D3B45"/>
          <w:szCs w:val="24"/>
        </w:rPr>
        <w:t xml:space="preserve">Martin, M. E. (2018). </w:t>
      </w:r>
      <w:r w:rsidRPr="00F43EDE">
        <w:rPr>
          <w:rFonts w:ascii="&amp;quot" w:eastAsia="Times New Roman" w:hAnsi="&amp;quot"/>
          <w:i/>
          <w:iCs/>
          <w:color w:val="2D3B45"/>
          <w:szCs w:val="24"/>
        </w:rPr>
        <w:t>Introduction to human services: Through the eyes of practice settings</w:t>
      </w:r>
      <w:r w:rsidRPr="00F43EDE">
        <w:rPr>
          <w:rFonts w:ascii="&amp;quot" w:eastAsia="Times New Roman" w:hAnsi="&amp;quot"/>
          <w:color w:val="2D3B45"/>
          <w:szCs w:val="24"/>
        </w:rPr>
        <w:t xml:space="preserve"> (4th ed.). New York, NY: Pearson.</w:t>
      </w:r>
    </w:p>
    <w:p w14:paraId="2A27B270" w14:textId="77777777" w:rsidR="00F43EDE" w:rsidRPr="00F43EDE" w:rsidRDefault="00F43EDE" w:rsidP="00F43EDE">
      <w:pPr>
        <w:numPr>
          <w:ilvl w:val="0"/>
          <w:numId w:val="1"/>
        </w:numPr>
        <w:spacing w:before="100" w:beforeAutospacing="1" w:after="100" w:afterAutospacing="1" w:line="240" w:lineRule="auto"/>
        <w:ind w:left="375"/>
        <w:rPr>
          <w:rFonts w:ascii="&amp;quot" w:eastAsia="Times New Roman" w:hAnsi="&amp;quot"/>
          <w:color w:val="2D3B45"/>
          <w:szCs w:val="24"/>
        </w:rPr>
      </w:pPr>
      <w:r w:rsidRPr="00F43EDE">
        <w:rPr>
          <w:rFonts w:ascii="&amp;quot" w:eastAsia="Times New Roman" w:hAnsi="&amp;quot"/>
          <w:color w:val="2D3B45"/>
          <w:szCs w:val="24"/>
        </w:rPr>
        <w:t>Chapter 3: Ethics and Values in Human Services</w:t>
      </w:r>
    </w:p>
    <w:p w14:paraId="4FF52DE1" w14:textId="77777777" w:rsidR="00F43EDE" w:rsidRPr="00F43EDE" w:rsidRDefault="00F43EDE" w:rsidP="00F43EDE">
      <w:pPr>
        <w:numPr>
          <w:ilvl w:val="0"/>
          <w:numId w:val="1"/>
        </w:numPr>
        <w:spacing w:before="100" w:beforeAutospacing="1" w:after="100" w:afterAutospacing="1" w:line="240" w:lineRule="auto"/>
        <w:ind w:left="375"/>
        <w:rPr>
          <w:rFonts w:ascii="&amp;quot" w:eastAsia="Times New Roman" w:hAnsi="&amp;quot"/>
          <w:color w:val="2D3B45"/>
          <w:szCs w:val="24"/>
        </w:rPr>
      </w:pPr>
      <w:r w:rsidRPr="00F43EDE">
        <w:rPr>
          <w:rFonts w:ascii="&amp;quot" w:eastAsia="Times New Roman" w:hAnsi="&amp;quot"/>
          <w:color w:val="2D3B45"/>
          <w:szCs w:val="24"/>
        </w:rPr>
        <w:t>Chapter 13: Violence, Victim Advocacy, and Corrections</w:t>
      </w:r>
    </w:p>
    <w:p w14:paraId="0BEDFD9D"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color w:val="2D3B45"/>
          <w:szCs w:val="24"/>
          <w:u w:val="single"/>
        </w:rPr>
        <w:t xml:space="preserve">Recommended Resources </w:t>
      </w:r>
    </w:p>
    <w:p w14:paraId="44272097"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color w:val="2D3B45"/>
          <w:szCs w:val="24"/>
        </w:rPr>
        <w:t>Articles</w:t>
      </w:r>
    </w:p>
    <w:p w14:paraId="2C1A0F4F"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color w:val="2D3B45"/>
          <w:szCs w:val="24"/>
        </w:rPr>
        <w:t>American Psychology Association. (2019). Treating women who have experienced intimate partner violence.</w:t>
      </w:r>
    </w:p>
    <w:p w14:paraId="7ECA03FD" w14:textId="77777777" w:rsidR="00F43EDE" w:rsidRPr="00F43EDE" w:rsidRDefault="00AB78ED" w:rsidP="00F43EDE">
      <w:pPr>
        <w:spacing w:after="0" w:line="240" w:lineRule="auto"/>
        <w:rPr>
          <w:rFonts w:ascii="&amp;quot" w:eastAsia="Times New Roman" w:hAnsi="&amp;quot"/>
          <w:color w:val="2D3B45"/>
          <w:szCs w:val="24"/>
        </w:rPr>
      </w:pPr>
      <w:hyperlink r:id="rId5" w:tgtFrame="_blank" w:history="1">
        <w:r w:rsidR="00F43EDE" w:rsidRPr="00F43EDE">
          <w:rPr>
            <w:rFonts w:ascii="&amp;quot" w:eastAsia="Times New Roman" w:hAnsi="&amp;quot"/>
            <w:color w:val="8C2E6D"/>
            <w:szCs w:val="24"/>
            <w:u w:val="single"/>
          </w:rPr>
          <w:t>https://www.psychiatry.org/File%20Library/Psychiatrists/Cultural-Competency/IPV-Guide/APA-Guide-to-IPV-Among-Women.pdf</w:t>
        </w:r>
        <w:r w:rsidR="00F43EDE" w:rsidRPr="00F43EDE">
          <w:rPr>
            <w:rFonts w:ascii="&amp;quot" w:eastAsia="Times New Roman" w:hAnsi="&amp;quot"/>
            <w:color w:val="8C2E6D"/>
            <w:szCs w:val="24"/>
            <w:bdr w:val="none" w:sz="0" w:space="0" w:color="auto" w:frame="1"/>
          </w:rPr>
          <w:t> (Links to an external site.)</w:t>
        </w:r>
      </w:hyperlink>
    </w:p>
    <w:p w14:paraId="27080D41"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color w:val="2D3B45"/>
          <w:szCs w:val="24"/>
        </w:rPr>
        <w:t>Bergen-</w:t>
      </w:r>
      <w:proofErr w:type="spellStart"/>
      <w:r w:rsidRPr="00F43EDE">
        <w:rPr>
          <w:rFonts w:ascii="&amp;quot" w:eastAsia="Times New Roman" w:hAnsi="&amp;quot"/>
          <w:color w:val="2D3B45"/>
          <w:szCs w:val="24"/>
        </w:rPr>
        <w:t>Cico</w:t>
      </w:r>
      <w:proofErr w:type="spellEnd"/>
      <w:r w:rsidRPr="00F43EDE">
        <w:rPr>
          <w:rFonts w:ascii="&amp;quot" w:eastAsia="Times New Roman" w:hAnsi="&amp;quot"/>
          <w:color w:val="2D3B45"/>
          <w:szCs w:val="24"/>
        </w:rPr>
        <w:t xml:space="preserve">, D. K., Haygood-El, A., Jennings-Bey, T. N., &amp; Lane, S. D. (2014). Street addiction: A proposed theoretical model for understanding the draw of street life and gang activity. </w:t>
      </w:r>
      <w:r w:rsidRPr="00F43EDE">
        <w:rPr>
          <w:rFonts w:ascii="&amp;quot" w:eastAsia="Times New Roman" w:hAnsi="&amp;quot"/>
          <w:i/>
          <w:iCs/>
          <w:color w:val="2D3B45"/>
          <w:szCs w:val="24"/>
        </w:rPr>
        <w:t>Addiction Research and Theory, 22</w:t>
      </w:r>
      <w:r w:rsidRPr="00F43EDE">
        <w:rPr>
          <w:rFonts w:ascii="&amp;quot" w:eastAsia="Times New Roman" w:hAnsi="&amp;quot"/>
          <w:color w:val="2D3B45"/>
          <w:szCs w:val="24"/>
        </w:rPr>
        <w:t xml:space="preserve">(1), 15–26. https://doi.org/10.3109/16066359.2012.759942 </w:t>
      </w:r>
    </w:p>
    <w:p w14:paraId="7AF13254" w14:textId="77777777" w:rsidR="00F43EDE" w:rsidRPr="00F43EDE" w:rsidRDefault="00F43EDE" w:rsidP="00F43EDE">
      <w:pPr>
        <w:spacing w:before="180" w:after="180" w:line="240" w:lineRule="auto"/>
        <w:rPr>
          <w:rFonts w:ascii="&amp;quot" w:eastAsia="Times New Roman" w:hAnsi="&amp;quot"/>
          <w:color w:val="2D3B45"/>
          <w:szCs w:val="24"/>
        </w:rPr>
      </w:pPr>
      <w:proofErr w:type="spellStart"/>
      <w:r w:rsidRPr="00F43EDE">
        <w:rPr>
          <w:rFonts w:ascii="&amp;quot" w:eastAsia="Times New Roman" w:hAnsi="&amp;quot"/>
          <w:color w:val="2D3B45"/>
          <w:szCs w:val="24"/>
        </w:rPr>
        <w:lastRenderedPageBreak/>
        <w:t>Carbajosa</w:t>
      </w:r>
      <w:proofErr w:type="spellEnd"/>
      <w:r w:rsidRPr="00F43EDE">
        <w:rPr>
          <w:rFonts w:ascii="&amp;quot" w:eastAsia="Times New Roman" w:hAnsi="&amp;quot"/>
          <w:color w:val="2D3B45"/>
          <w:szCs w:val="24"/>
        </w:rPr>
        <w:t xml:space="preserve">, P., </w:t>
      </w:r>
      <w:proofErr w:type="spellStart"/>
      <w:r w:rsidRPr="00F43EDE">
        <w:rPr>
          <w:rFonts w:ascii="&amp;quot" w:eastAsia="Times New Roman" w:hAnsi="&amp;quot"/>
          <w:color w:val="2D3B45"/>
          <w:szCs w:val="24"/>
        </w:rPr>
        <w:t>Catalá-Miñana</w:t>
      </w:r>
      <w:proofErr w:type="spellEnd"/>
      <w:r w:rsidRPr="00F43EDE">
        <w:rPr>
          <w:rFonts w:ascii="&amp;quot" w:eastAsia="Times New Roman" w:hAnsi="&amp;quot"/>
          <w:color w:val="2D3B45"/>
          <w:szCs w:val="24"/>
        </w:rPr>
        <w:t xml:space="preserve">, A., Lila, M., </w:t>
      </w:r>
      <w:proofErr w:type="spellStart"/>
      <w:r w:rsidRPr="00F43EDE">
        <w:rPr>
          <w:rFonts w:ascii="&amp;quot" w:eastAsia="Times New Roman" w:hAnsi="&amp;quot"/>
          <w:color w:val="2D3B45"/>
          <w:szCs w:val="24"/>
        </w:rPr>
        <w:t>Gracia</w:t>
      </w:r>
      <w:proofErr w:type="spellEnd"/>
      <w:r w:rsidRPr="00F43EDE">
        <w:rPr>
          <w:rFonts w:ascii="&amp;quot" w:eastAsia="Times New Roman" w:hAnsi="&amp;quot"/>
          <w:color w:val="2D3B45"/>
          <w:szCs w:val="24"/>
        </w:rPr>
        <w:t xml:space="preserve">, E., &amp; </w:t>
      </w:r>
      <w:proofErr w:type="spellStart"/>
      <w:r w:rsidRPr="00F43EDE">
        <w:rPr>
          <w:rFonts w:ascii="&amp;quot" w:eastAsia="Times New Roman" w:hAnsi="&amp;quot"/>
          <w:color w:val="2D3B45"/>
          <w:szCs w:val="24"/>
        </w:rPr>
        <w:t>Boira</w:t>
      </w:r>
      <w:proofErr w:type="spellEnd"/>
      <w:r w:rsidRPr="00F43EDE">
        <w:rPr>
          <w:rFonts w:ascii="&amp;quot" w:eastAsia="Times New Roman" w:hAnsi="&amp;quot"/>
          <w:color w:val="2D3B45"/>
          <w:szCs w:val="24"/>
        </w:rPr>
        <w:t xml:space="preserve">, S. (2017). Responsive versus treatment-resistant perpetrators in batterer intervention programs: Personal characteristics and stages of change. </w:t>
      </w:r>
      <w:r w:rsidRPr="00F43EDE">
        <w:rPr>
          <w:rFonts w:ascii="&amp;quot" w:eastAsia="Times New Roman" w:hAnsi="&amp;quot"/>
          <w:i/>
          <w:iCs/>
          <w:color w:val="2D3B45"/>
          <w:szCs w:val="24"/>
        </w:rPr>
        <w:t>Psychiatry, Psychology and Law, 24</w:t>
      </w:r>
      <w:r w:rsidRPr="00F43EDE">
        <w:rPr>
          <w:rFonts w:ascii="&amp;quot" w:eastAsia="Times New Roman" w:hAnsi="&amp;quot"/>
          <w:color w:val="2D3B45"/>
          <w:szCs w:val="24"/>
        </w:rPr>
        <w:t xml:space="preserve">(6), 936–950. https://doi.org/10.1080/13218719.2017.1347933 </w:t>
      </w:r>
    </w:p>
    <w:p w14:paraId="1224B7CE" w14:textId="77777777" w:rsidR="00F43EDE" w:rsidRPr="00F43EDE" w:rsidRDefault="00F43EDE" w:rsidP="00F43EDE">
      <w:pPr>
        <w:spacing w:before="180" w:after="180" w:line="240" w:lineRule="auto"/>
        <w:rPr>
          <w:rFonts w:ascii="&amp;quot" w:eastAsia="Times New Roman" w:hAnsi="&amp;quot"/>
          <w:color w:val="2D3B45"/>
          <w:szCs w:val="24"/>
        </w:rPr>
      </w:pPr>
      <w:proofErr w:type="spellStart"/>
      <w:r w:rsidRPr="00F43EDE">
        <w:rPr>
          <w:rFonts w:ascii="&amp;quot" w:eastAsia="Times New Roman" w:hAnsi="&amp;quot"/>
          <w:color w:val="2D3B45"/>
          <w:szCs w:val="24"/>
        </w:rPr>
        <w:t>Dichter</w:t>
      </w:r>
      <w:proofErr w:type="spellEnd"/>
      <w:r w:rsidRPr="00F43EDE">
        <w:rPr>
          <w:rFonts w:ascii="&amp;quot" w:eastAsia="Times New Roman" w:hAnsi="&amp;quot"/>
          <w:color w:val="2D3B45"/>
          <w:szCs w:val="24"/>
        </w:rPr>
        <w:t xml:space="preserve">, M. E., Thomas, K. A., </w:t>
      </w:r>
      <w:proofErr w:type="spellStart"/>
      <w:r w:rsidRPr="00F43EDE">
        <w:rPr>
          <w:rFonts w:ascii="&amp;quot" w:eastAsia="Times New Roman" w:hAnsi="&amp;quot"/>
          <w:color w:val="2D3B45"/>
          <w:szCs w:val="24"/>
        </w:rPr>
        <w:t>Crits</w:t>
      </w:r>
      <w:proofErr w:type="spellEnd"/>
      <w:r w:rsidRPr="00F43EDE">
        <w:rPr>
          <w:rFonts w:ascii="&amp;quot" w:eastAsia="Times New Roman" w:hAnsi="&amp;quot"/>
          <w:color w:val="2D3B45"/>
          <w:szCs w:val="24"/>
        </w:rPr>
        <w:t xml:space="preserve">-Christoph, P., Ogden, S. N., &amp; Rhodes, K. V. (2018). Coercive control in intimate partner violence: Relationship with women’s experience of violence, use of violence, and danger. </w:t>
      </w:r>
      <w:r w:rsidRPr="00F43EDE">
        <w:rPr>
          <w:rFonts w:ascii="&amp;quot" w:eastAsia="Times New Roman" w:hAnsi="&amp;quot"/>
          <w:i/>
          <w:iCs/>
          <w:color w:val="2D3B45"/>
          <w:szCs w:val="24"/>
        </w:rPr>
        <w:t>Psychology of Violence, 8</w:t>
      </w:r>
      <w:r w:rsidRPr="00F43EDE">
        <w:rPr>
          <w:rFonts w:ascii="&amp;quot" w:eastAsia="Times New Roman" w:hAnsi="&amp;quot"/>
          <w:color w:val="2D3B45"/>
          <w:szCs w:val="24"/>
        </w:rPr>
        <w:t xml:space="preserve">(5), 596–604. https://doi.org/10.1037/vio0000158 </w:t>
      </w:r>
    </w:p>
    <w:p w14:paraId="25AC13E8"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color w:val="2D3B45"/>
          <w:szCs w:val="24"/>
        </w:rPr>
        <w:t xml:space="preserve">Duncan, D. T., &amp; </w:t>
      </w:r>
      <w:proofErr w:type="spellStart"/>
      <w:r w:rsidRPr="00F43EDE">
        <w:rPr>
          <w:rFonts w:ascii="&amp;quot" w:eastAsia="Times New Roman" w:hAnsi="&amp;quot"/>
          <w:color w:val="2D3B45"/>
          <w:szCs w:val="24"/>
        </w:rPr>
        <w:t>Hatzenbuehler</w:t>
      </w:r>
      <w:proofErr w:type="spellEnd"/>
      <w:r w:rsidRPr="00F43EDE">
        <w:rPr>
          <w:rFonts w:ascii="&amp;quot" w:eastAsia="Times New Roman" w:hAnsi="&amp;quot"/>
          <w:color w:val="2D3B45"/>
          <w:szCs w:val="24"/>
        </w:rPr>
        <w:t xml:space="preserve">, M. L. (2014). Lesbian, gay, bisexual, and transgender hate crimes and suicidality among a population-based sample of sexual-minority adolescents in Boston. </w:t>
      </w:r>
      <w:r w:rsidRPr="00F43EDE">
        <w:rPr>
          <w:rFonts w:ascii="&amp;quot" w:eastAsia="Times New Roman" w:hAnsi="&amp;quot"/>
          <w:i/>
          <w:iCs/>
          <w:color w:val="2D3B45"/>
          <w:szCs w:val="24"/>
        </w:rPr>
        <w:t>American Journal of Public Health, 104</w:t>
      </w:r>
      <w:r w:rsidRPr="00F43EDE">
        <w:rPr>
          <w:rFonts w:ascii="&amp;quot" w:eastAsia="Times New Roman" w:hAnsi="&amp;quot"/>
          <w:color w:val="2D3B45"/>
          <w:szCs w:val="24"/>
        </w:rPr>
        <w:t xml:space="preserve">(2), 272–278. https://doi.org/10.2105/AJPH.2013.301424 </w:t>
      </w:r>
    </w:p>
    <w:p w14:paraId="55847C5A"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color w:val="2D3B45"/>
          <w:szCs w:val="24"/>
        </w:rPr>
        <w:t xml:space="preserve">Edmond, T. E., </w:t>
      </w:r>
      <w:proofErr w:type="spellStart"/>
      <w:r w:rsidRPr="00F43EDE">
        <w:rPr>
          <w:rFonts w:ascii="&amp;quot" w:eastAsia="Times New Roman" w:hAnsi="&amp;quot"/>
          <w:color w:val="2D3B45"/>
          <w:szCs w:val="24"/>
        </w:rPr>
        <w:t>Voth</w:t>
      </w:r>
      <w:proofErr w:type="spellEnd"/>
      <w:r w:rsidRPr="00F43EDE">
        <w:rPr>
          <w:rFonts w:ascii="&amp;quot" w:eastAsia="Times New Roman" w:hAnsi="&amp;quot"/>
          <w:color w:val="2D3B45"/>
          <w:szCs w:val="24"/>
        </w:rPr>
        <w:t xml:space="preserve"> </w:t>
      </w:r>
      <w:proofErr w:type="spellStart"/>
      <w:r w:rsidRPr="00F43EDE">
        <w:rPr>
          <w:rFonts w:ascii="&amp;quot" w:eastAsia="Times New Roman" w:hAnsi="&amp;quot"/>
          <w:color w:val="2D3B45"/>
          <w:szCs w:val="24"/>
        </w:rPr>
        <w:t>Schrag</w:t>
      </w:r>
      <w:proofErr w:type="spellEnd"/>
      <w:r w:rsidRPr="00F43EDE">
        <w:rPr>
          <w:rFonts w:ascii="&amp;quot" w:eastAsia="Times New Roman" w:hAnsi="&amp;quot"/>
          <w:color w:val="2D3B45"/>
          <w:szCs w:val="24"/>
        </w:rPr>
        <w:t xml:space="preserve">, R. J., &amp; Bender, A. K. (2019). Opening the black box: Identifying </w:t>
      </w:r>
      <w:bookmarkStart w:id="0" w:name="_GoBack"/>
      <w:r w:rsidRPr="00F43EDE">
        <w:rPr>
          <w:rFonts w:ascii="&amp;quot" w:eastAsia="Times New Roman" w:hAnsi="&amp;quot"/>
          <w:color w:val="2D3B45"/>
          <w:szCs w:val="24"/>
        </w:rPr>
        <w:t xml:space="preserve">common practice approaches in urban and rural rape crisis centers. </w:t>
      </w:r>
      <w:r w:rsidRPr="00F43EDE">
        <w:rPr>
          <w:rFonts w:ascii="&amp;quot" w:eastAsia="Times New Roman" w:hAnsi="&amp;quot"/>
          <w:i/>
          <w:iCs/>
          <w:color w:val="2D3B45"/>
          <w:szCs w:val="24"/>
        </w:rPr>
        <w:t xml:space="preserve">Violence Against </w:t>
      </w:r>
      <w:bookmarkEnd w:id="0"/>
      <w:r w:rsidRPr="00F43EDE">
        <w:rPr>
          <w:rFonts w:ascii="&amp;quot" w:eastAsia="Times New Roman" w:hAnsi="&amp;quot"/>
          <w:i/>
          <w:iCs/>
          <w:color w:val="2D3B45"/>
          <w:szCs w:val="24"/>
        </w:rPr>
        <w:t>Women,</w:t>
      </w:r>
      <w:r w:rsidRPr="00F43EDE">
        <w:rPr>
          <w:rFonts w:ascii="&amp;quot" w:eastAsia="Times New Roman" w:hAnsi="&amp;quot"/>
          <w:color w:val="2D3B45"/>
          <w:szCs w:val="24"/>
        </w:rPr>
        <w:t xml:space="preserve"> 1–22. https://doi.org/10.1177/1077801219832903 </w:t>
      </w:r>
    </w:p>
    <w:p w14:paraId="56A37710"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color w:val="2D3B45"/>
          <w:szCs w:val="24"/>
        </w:rPr>
        <w:t xml:space="preserve">Gonzalez, K. A., </w:t>
      </w:r>
      <w:proofErr w:type="spellStart"/>
      <w:r w:rsidRPr="00F43EDE">
        <w:rPr>
          <w:rFonts w:ascii="&amp;quot" w:eastAsia="Times New Roman" w:hAnsi="&amp;quot"/>
          <w:color w:val="2D3B45"/>
          <w:szCs w:val="24"/>
        </w:rPr>
        <w:t>Rostosky</w:t>
      </w:r>
      <w:proofErr w:type="spellEnd"/>
      <w:r w:rsidRPr="00F43EDE">
        <w:rPr>
          <w:rFonts w:ascii="&amp;quot" w:eastAsia="Times New Roman" w:hAnsi="&amp;quot"/>
          <w:color w:val="2D3B45"/>
          <w:szCs w:val="24"/>
        </w:rPr>
        <w:t xml:space="preserve">, S. S., </w:t>
      </w:r>
      <w:proofErr w:type="spellStart"/>
      <w:r w:rsidRPr="00F43EDE">
        <w:rPr>
          <w:rFonts w:ascii="&amp;quot" w:eastAsia="Times New Roman" w:hAnsi="&amp;quot"/>
          <w:color w:val="2D3B45"/>
          <w:szCs w:val="24"/>
        </w:rPr>
        <w:t>Riggle</w:t>
      </w:r>
      <w:proofErr w:type="spellEnd"/>
      <w:r w:rsidRPr="00F43EDE">
        <w:rPr>
          <w:rFonts w:ascii="&amp;quot" w:eastAsia="Times New Roman" w:hAnsi="&amp;quot"/>
          <w:color w:val="2D3B45"/>
          <w:szCs w:val="24"/>
        </w:rPr>
        <w:t xml:space="preserve">, E. D. B., &amp; O’Neil, M. A. (2019). Changing social justice attitudes toward lesbians and gay men: Evaluating three interventions. </w:t>
      </w:r>
      <w:r w:rsidRPr="00F43EDE">
        <w:rPr>
          <w:rFonts w:ascii="&amp;quot" w:eastAsia="Times New Roman" w:hAnsi="&amp;quot"/>
          <w:i/>
          <w:iCs/>
          <w:color w:val="2D3B45"/>
          <w:szCs w:val="24"/>
        </w:rPr>
        <w:t>Professional Psychology: Research and Practice, 50</w:t>
      </w:r>
      <w:r w:rsidRPr="00F43EDE">
        <w:rPr>
          <w:rFonts w:ascii="&amp;quot" w:eastAsia="Times New Roman" w:hAnsi="&amp;quot"/>
          <w:color w:val="2D3B45"/>
          <w:szCs w:val="24"/>
        </w:rPr>
        <w:t xml:space="preserve">(5), 333–342. https://doi.org/10.1037/pro0000245 </w:t>
      </w:r>
    </w:p>
    <w:p w14:paraId="581B9001" w14:textId="77777777" w:rsidR="00F43EDE" w:rsidRPr="00F43EDE" w:rsidRDefault="00F43EDE" w:rsidP="00F43EDE">
      <w:pPr>
        <w:spacing w:before="180" w:after="180" w:line="240" w:lineRule="auto"/>
        <w:rPr>
          <w:rFonts w:ascii="&amp;quot" w:eastAsia="Times New Roman" w:hAnsi="&amp;quot"/>
          <w:color w:val="2D3B45"/>
          <w:szCs w:val="24"/>
        </w:rPr>
      </w:pPr>
      <w:proofErr w:type="spellStart"/>
      <w:r w:rsidRPr="00F43EDE">
        <w:rPr>
          <w:rFonts w:ascii="&amp;quot" w:eastAsia="Times New Roman" w:hAnsi="&amp;quot"/>
          <w:color w:val="2D3B45"/>
          <w:szCs w:val="24"/>
        </w:rPr>
        <w:t>Hogler</w:t>
      </w:r>
      <w:proofErr w:type="spellEnd"/>
      <w:r w:rsidRPr="00F43EDE">
        <w:rPr>
          <w:rFonts w:ascii="&amp;quot" w:eastAsia="Times New Roman" w:hAnsi="&amp;quot"/>
          <w:color w:val="2D3B45"/>
          <w:szCs w:val="24"/>
        </w:rPr>
        <w:t xml:space="preserve">, R., Henle, C., &amp; Gross, M. (2013). Ethical behavior and regional environments: The effects of culture, values, and trust. </w:t>
      </w:r>
      <w:r w:rsidRPr="00F43EDE">
        <w:rPr>
          <w:rFonts w:ascii="&amp;quot" w:eastAsia="Times New Roman" w:hAnsi="&amp;quot"/>
          <w:i/>
          <w:iCs/>
          <w:color w:val="2D3B45"/>
          <w:szCs w:val="24"/>
        </w:rPr>
        <w:t>Employee Responsibilities and Rights Journal, 25</w:t>
      </w:r>
      <w:r w:rsidRPr="00F43EDE">
        <w:rPr>
          <w:rFonts w:ascii="&amp;quot" w:eastAsia="Times New Roman" w:hAnsi="&amp;quot"/>
          <w:color w:val="2D3B45"/>
          <w:szCs w:val="24"/>
        </w:rPr>
        <w:t xml:space="preserve">(2), 109–121. https://doi.org/10.1007/s10672-013-9215-0 </w:t>
      </w:r>
    </w:p>
    <w:p w14:paraId="3470657C" w14:textId="77777777" w:rsidR="00F43EDE" w:rsidRPr="00F43EDE" w:rsidRDefault="00F43EDE" w:rsidP="00F43EDE">
      <w:pPr>
        <w:spacing w:before="180" w:after="180" w:line="240" w:lineRule="auto"/>
        <w:rPr>
          <w:rFonts w:ascii="&amp;quot" w:eastAsia="Times New Roman" w:hAnsi="&amp;quot"/>
          <w:color w:val="2D3B45"/>
          <w:szCs w:val="24"/>
        </w:rPr>
      </w:pPr>
      <w:proofErr w:type="spellStart"/>
      <w:r w:rsidRPr="00F43EDE">
        <w:rPr>
          <w:rFonts w:ascii="&amp;quot" w:eastAsia="Times New Roman" w:hAnsi="&amp;quot"/>
          <w:color w:val="2D3B45"/>
          <w:szCs w:val="24"/>
        </w:rPr>
        <w:t>Neukrug</w:t>
      </w:r>
      <w:proofErr w:type="spellEnd"/>
      <w:r w:rsidRPr="00F43EDE">
        <w:rPr>
          <w:rFonts w:ascii="&amp;quot" w:eastAsia="Times New Roman" w:hAnsi="&amp;quot"/>
          <w:color w:val="2D3B45"/>
          <w:szCs w:val="24"/>
        </w:rPr>
        <w:t xml:space="preserve">, E., Sparkman, N., &amp; Moe, J. (2017). The Holland code of members of the National Organization for Human Services: A preliminary study of human services professionals. </w:t>
      </w:r>
      <w:r w:rsidRPr="00F43EDE">
        <w:rPr>
          <w:rFonts w:ascii="&amp;quot" w:eastAsia="Times New Roman" w:hAnsi="&amp;quot"/>
          <w:i/>
          <w:iCs/>
          <w:color w:val="2D3B45"/>
          <w:szCs w:val="24"/>
        </w:rPr>
        <w:t>Journal of Employment Counseling, 54</w:t>
      </w:r>
      <w:r w:rsidRPr="00F43EDE">
        <w:rPr>
          <w:rFonts w:ascii="&amp;quot" w:eastAsia="Times New Roman" w:hAnsi="&amp;quot"/>
          <w:color w:val="2D3B45"/>
          <w:szCs w:val="24"/>
        </w:rPr>
        <w:t xml:space="preserve">(4), 146–155. https://doi.org/10.1002/joec.12063 </w:t>
      </w:r>
    </w:p>
    <w:p w14:paraId="56F207D5"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color w:val="2D3B45"/>
          <w:szCs w:val="24"/>
        </w:rPr>
        <w:t xml:space="preserve">Peters, R. H., Young, M. S., Rojas, E. C., &amp; Gorey, C. M. (2017). Evidence-based treatment and supervision practices for co-occurring mental and substance use disorders in the criminal justice system. </w:t>
      </w:r>
      <w:r w:rsidRPr="00F43EDE">
        <w:rPr>
          <w:rFonts w:ascii="&amp;quot" w:eastAsia="Times New Roman" w:hAnsi="&amp;quot"/>
          <w:i/>
          <w:iCs/>
          <w:color w:val="2D3B45"/>
          <w:szCs w:val="24"/>
        </w:rPr>
        <w:t>American Journal of Drug and Alcohol Abuse, 43(</w:t>
      </w:r>
      <w:r w:rsidRPr="00F43EDE">
        <w:rPr>
          <w:rFonts w:ascii="&amp;quot" w:eastAsia="Times New Roman" w:hAnsi="&amp;quot"/>
          <w:color w:val="2D3B45"/>
          <w:szCs w:val="24"/>
        </w:rPr>
        <w:t xml:space="preserve">4), 475–488. https://doi.org/10.1080/00952990.2017.1303838 </w:t>
      </w:r>
    </w:p>
    <w:p w14:paraId="1E2362A7"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color w:val="2D3B45"/>
          <w:szCs w:val="24"/>
        </w:rPr>
        <w:t xml:space="preserve">Shaw, J., Campbell, R., Cain, D., &amp; Feeney, H. (2017). Beyond surveys and scales: How rape myths manifest in sexual assault police records. </w:t>
      </w:r>
      <w:r w:rsidRPr="00F43EDE">
        <w:rPr>
          <w:rFonts w:ascii="&amp;quot" w:eastAsia="Times New Roman" w:hAnsi="&amp;quot"/>
          <w:i/>
          <w:iCs/>
          <w:color w:val="2D3B45"/>
          <w:szCs w:val="24"/>
        </w:rPr>
        <w:t>Psychology of Violence, 7</w:t>
      </w:r>
      <w:r w:rsidRPr="00F43EDE">
        <w:rPr>
          <w:rFonts w:ascii="&amp;quot" w:eastAsia="Times New Roman" w:hAnsi="&amp;quot"/>
          <w:color w:val="2D3B45"/>
          <w:szCs w:val="24"/>
        </w:rPr>
        <w:t>(4), 602–614. https://doi.org/10.1037/vio0000072</w:t>
      </w:r>
    </w:p>
    <w:p w14:paraId="4E8C6633"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color w:val="2D3B45"/>
          <w:szCs w:val="24"/>
        </w:rPr>
        <w:t xml:space="preserve">Webpages </w:t>
      </w:r>
    </w:p>
    <w:p w14:paraId="7B39A1F1" w14:textId="77777777" w:rsidR="00F43EDE" w:rsidRPr="00F43EDE" w:rsidRDefault="00F43EDE" w:rsidP="00F43EDE">
      <w:pPr>
        <w:spacing w:after="0" w:line="240" w:lineRule="auto"/>
        <w:rPr>
          <w:rFonts w:ascii="&amp;quot" w:eastAsia="Times New Roman" w:hAnsi="&amp;quot"/>
          <w:color w:val="2D3B45"/>
          <w:szCs w:val="24"/>
        </w:rPr>
      </w:pPr>
      <w:r w:rsidRPr="00F43EDE">
        <w:rPr>
          <w:rFonts w:ascii="&amp;quot" w:eastAsia="Times New Roman" w:hAnsi="&amp;quot"/>
          <w:color w:val="2D3B45"/>
          <w:szCs w:val="24"/>
        </w:rPr>
        <w:t xml:space="preserve">GLAAD. (2019, Jun 24). </w:t>
      </w:r>
      <w:hyperlink r:id="rId6" w:tgtFrame="_blank" w:history="1">
        <w:r w:rsidRPr="00F43EDE">
          <w:rPr>
            <w:rFonts w:ascii="&amp;quot" w:eastAsia="Times New Roman" w:hAnsi="&amp;quot"/>
            <w:color w:val="8C2E6D"/>
            <w:szCs w:val="24"/>
            <w:u w:val="single"/>
          </w:rPr>
          <w:t>Incidents of anti-LGBTQ hate violence in 2019</w:t>
        </w:r>
        <w:r w:rsidRPr="00F43EDE">
          <w:rPr>
            <w:rFonts w:ascii="&amp;quot" w:eastAsia="Times New Roman" w:hAnsi="&amp;quot"/>
            <w:color w:val="8C2E6D"/>
            <w:szCs w:val="24"/>
            <w:bdr w:val="none" w:sz="0" w:space="0" w:color="auto" w:frame="1"/>
          </w:rPr>
          <w:t> (Links to an external site.)</w:t>
        </w:r>
      </w:hyperlink>
      <w:r w:rsidRPr="00F43EDE">
        <w:rPr>
          <w:rFonts w:ascii="&amp;quot" w:eastAsia="Times New Roman" w:hAnsi="&amp;quot"/>
          <w:color w:val="2D3B45"/>
          <w:szCs w:val="24"/>
        </w:rPr>
        <w:t xml:space="preserve">. https://www.glaad.org/blog/incidents-anti-lgbtq-hate-violence-2019 </w:t>
      </w:r>
    </w:p>
    <w:p w14:paraId="6D069E92" w14:textId="77777777" w:rsidR="00F43EDE" w:rsidRPr="00F43EDE" w:rsidRDefault="00F43EDE" w:rsidP="00F43EDE">
      <w:pPr>
        <w:spacing w:after="0" w:line="240" w:lineRule="auto"/>
        <w:rPr>
          <w:rFonts w:ascii="&amp;quot" w:eastAsia="Times New Roman" w:hAnsi="&amp;quot"/>
          <w:color w:val="2D3B45"/>
          <w:szCs w:val="24"/>
        </w:rPr>
      </w:pPr>
      <w:r w:rsidRPr="00F43EDE">
        <w:rPr>
          <w:rFonts w:ascii="&amp;quot" w:eastAsia="Times New Roman" w:hAnsi="&amp;quot"/>
          <w:color w:val="2D3B45"/>
          <w:szCs w:val="24"/>
        </w:rPr>
        <w:t xml:space="preserve">Marques, L. (2019, May 19). </w:t>
      </w:r>
      <w:hyperlink r:id="rId7" w:tgtFrame="_blank" w:history="1">
        <w:r w:rsidRPr="00F43EDE">
          <w:rPr>
            <w:rFonts w:ascii="&amp;quot" w:eastAsia="Times New Roman" w:hAnsi="&amp;quot"/>
            <w:i/>
            <w:iCs/>
            <w:color w:val="8C2E6D"/>
            <w:szCs w:val="24"/>
            <w:u w:val="single"/>
          </w:rPr>
          <w:t>Intimate partner violence—What it is and what does it look like</w:t>
        </w:r>
        <w:r w:rsidRPr="00F43EDE">
          <w:rPr>
            <w:rFonts w:ascii="&amp;quot" w:eastAsia="Times New Roman" w:hAnsi="&amp;quot"/>
            <w:i/>
            <w:iCs/>
            <w:color w:val="8C2E6D"/>
            <w:szCs w:val="24"/>
            <w:bdr w:val="none" w:sz="0" w:space="0" w:color="auto" w:frame="1"/>
          </w:rPr>
          <w:t> (Links to an external site.)</w:t>
        </w:r>
      </w:hyperlink>
      <w:r w:rsidRPr="00F43EDE">
        <w:rPr>
          <w:rFonts w:ascii="&amp;quot" w:eastAsia="Times New Roman" w:hAnsi="&amp;quot"/>
          <w:i/>
          <w:iCs/>
          <w:color w:val="2D3B45"/>
          <w:szCs w:val="24"/>
        </w:rPr>
        <w:t>? Anxiety and Depression Association of America</w:t>
      </w:r>
      <w:r w:rsidRPr="00F43EDE">
        <w:rPr>
          <w:rFonts w:ascii="&amp;quot" w:eastAsia="Times New Roman" w:hAnsi="&amp;quot"/>
          <w:color w:val="2D3B45"/>
          <w:szCs w:val="24"/>
        </w:rPr>
        <w:t xml:space="preserve">. https://adaa.org/learn-from-us/from-the-experts/blog-posts/consumer/intimate-partner-violence-what-it-and-what-does </w:t>
      </w:r>
    </w:p>
    <w:p w14:paraId="31FE4957" w14:textId="77777777" w:rsidR="00F43EDE" w:rsidRPr="00F43EDE" w:rsidRDefault="00F43EDE" w:rsidP="00F43EDE">
      <w:pPr>
        <w:spacing w:after="0" w:line="240" w:lineRule="auto"/>
        <w:rPr>
          <w:rFonts w:ascii="&amp;quot" w:eastAsia="Times New Roman" w:hAnsi="&amp;quot"/>
          <w:color w:val="2D3B45"/>
          <w:szCs w:val="24"/>
        </w:rPr>
      </w:pPr>
      <w:r w:rsidRPr="00F43EDE">
        <w:rPr>
          <w:rFonts w:ascii="&amp;quot" w:eastAsia="Times New Roman" w:hAnsi="&amp;quot"/>
          <w:color w:val="2D3B45"/>
          <w:szCs w:val="24"/>
        </w:rPr>
        <w:lastRenderedPageBreak/>
        <w:t xml:space="preserve">National Organization for Human Services. (n.d.). </w:t>
      </w:r>
      <w:hyperlink r:id="rId8" w:tgtFrame="_blank" w:history="1">
        <w:r w:rsidRPr="00F43EDE">
          <w:rPr>
            <w:rFonts w:ascii="&amp;quot" w:eastAsia="Times New Roman" w:hAnsi="&amp;quot"/>
            <w:color w:val="8C2E6D"/>
            <w:szCs w:val="24"/>
            <w:u w:val="single"/>
          </w:rPr>
          <w:t>Ethical standards for human services professionals</w:t>
        </w:r>
        <w:r w:rsidRPr="00F43EDE">
          <w:rPr>
            <w:rFonts w:ascii="&amp;quot" w:eastAsia="Times New Roman" w:hAnsi="&amp;quot"/>
            <w:color w:val="8C2E6D"/>
            <w:szCs w:val="24"/>
            <w:bdr w:val="none" w:sz="0" w:space="0" w:color="auto" w:frame="1"/>
          </w:rPr>
          <w:t> (Links to an external site.)</w:t>
        </w:r>
      </w:hyperlink>
      <w:r w:rsidRPr="00F43EDE">
        <w:rPr>
          <w:rFonts w:ascii="&amp;quot" w:eastAsia="Times New Roman" w:hAnsi="&amp;quot"/>
          <w:color w:val="2D3B45"/>
          <w:szCs w:val="24"/>
        </w:rPr>
        <w:t>. https://www.nationalhumanservices.org/ethical-standards-for-hs-professionals</w:t>
      </w:r>
    </w:p>
    <w:p w14:paraId="035063A7"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color w:val="2D3B45"/>
          <w:szCs w:val="24"/>
        </w:rPr>
        <w:t xml:space="preserve">Privacy Policy does not exist. </w:t>
      </w:r>
    </w:p>
    <w:p w14:paraId="3E0BB75D"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color w:val="2D3B45"/>
          <w:szCs w:val="24"/>
        </w:rPr>
        <w:t xml:space="preserve">RAINN. (n.d.). </w:t>
      </w:r>
      <w:r w:rsidRPr="00F43EDE">
        <w:rPr>
          <w:rFonts w:ascii="&amp;quot" w:eastAsia="Times New Roman" w:hAnsi="&amp;quot"/>
          <w:i/>
          <w:iCs/>
          <w:color w:val="2D3B45"/>
          <w:szCs w:val="24"/>
        </w:rPr>
        <w:t>Sexual assault.</w:t>
      </w:r>
      <w:r w:rsidRPr="00F43EDE">
        <w:rPr>
          <w:rFonts w:ascii="&amp;quot" w:eastAsia="Times New Roman" w:hAnsi="&amp;quot"/>
          <w:color w:val="2D3B45"/>
          <w:szCs w:val="24"/>
        </w:rPr>
        <w:t xml:space="preserve"> https://www.rainn.org/articles/sexual-assault </w:t>
      </w:r>
    </w:p>
    <w:p w14:paraId="62863F61" w14:textId="77777777" w:rsidR="00F43EDE" w:rsidRPr="00F43EDE" w:rsidRDefault="00F43EDE" w:rsidP="00F43EDE">
      <w:pPr>
        <w:spacing w:before="180" w:after="180" w:line="240" w:lineRule="auto"/>
        <w:rPr>
          <w:rFonts w:ascii="&amp;quot" w:eastAsia="Times New Roman" w:hAnsi="&amp;quot"/>
          <w:color w:val="2D3B45"/>
          <w:szCs w:val="24"/>
        </w:rPr>
      </w:pPr>
      <w:r w:rsidRPr="00F43EDE">
        <w:rPr>
          <w:rFonts w:ascii="&amp;quot" w:eastAsia="Times New Roman" w:hAnsi="&amp;quot"/>
          <w:color w:val="2D3B45"/>
          <w:szCs w:val="24"/>
        </w:rPr>
        <w:t xml:space="preserve">Smith, M., &amp; Segal, J. (2019, June). Domestic violence and abuse. </w:t>
      </w:r>
      <w:proofErr w:type="spellStart"/>
      <w:r w:rsidRPr="00F43EDE">
        <w:rPr>
          <w:rFonts w:ascii="&amp;quot" w:eastAsia="Times New Roman" w:hAnsi="&amp;quot"/>
          <w:color w:val="2D3B45"/>
          <w:szCs w:val="24"/>
        </w:rPr>
        <w:t>HelpGuide</w:t>
      </w:r>
      <w:proofErr w:type="spellEnd"/>
      <w:r w:rsidRPr="00F43EDE">
        <w:rPr>
          <w:rFonts w:ascii="&amp;quot" w:eastAsia="Times New Roman" w:hAnsi="&amp;quot"/>
          <w:color w:val="2D3B45"/>
          <w:szCs w:val="24"/>
        </w:rPr>
        <w:t>. https://www.helpguide.org/articles/abuse/domestic-violence-and-abuse.htm</w:t>
      </w:r>
    </w:p>
    <w:p w14:paraId="4B3635F8" w14:textId="77777777" w:rsidR="00F43EDE" w:rsidRDefault="00F43EDE"/>
    <w:sectPr w:rsidR="00F43E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Lato">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8A6DA5"/>
    <w:multiLevelType w:val="multilevel"/>
    <w:tmpl w:val="35B85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B9F"/>
    <w:rsid w:val="00AB78ED"/>
    <w:rsid w:val="00B32AE6"/>
    <w:rsid w:val="00DC1E17"/>
    <w:rsid w:val="00F43EDE"/>
    <w:rsid w:val="00F52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07327"/>
  <w15:chartTrackingRefBased/>
  <w15:docId w15:val="{72E6ED93-FA8E-4EAF-91FD-27C2758F9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43E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6504713">
      <w:bodyDiv w:val="1"/>
      <w:marLeft w:val="0"/>
      <w:marRight w:val="0"/>
      <w:marTop w:val="0"/>
      <w:marBottom w:val="0"/>
      <w:divBdr>
        <w:top w:val="none" w:sz="0" w:space="0" w:color="auto"/>
        <w:left w:val="none" w:sz="0" w:space="0" w:color="auto"/>
        <w:bottom w:val="none" w:sz="0" w:space="0" w:color="auto"/>
        <w:right w:val="none" w:sz="0" w:space="0" w:color="auto"/>
      </w:divBdr>
    </w:div>
    <w:div w:id="1952080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humanservices.org/ethical-standards-for-hs-professionals" TargetMode="External"/><Relationship Id="rId3" Type="http://schemas.openxmlformats.org/officeDocument/2006/relationships/settings" Target="settings.xml"/><Relationship Id="rId7" Type="http://schemas.openxmlformats.org/officeDocument/2006/relationships/hyperlink" Target="https://adaa.org/learn-from-us/from-the-experts/blog-posts/consumer/intimate-partner-violence-what-it-and-what-do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laad.org/blog/incidents-anti-lgbtq-hate-violence-2019" TargetMode="External"/><Relationship Id="rId5" Type="http://schemas.openxmlformats.org/officeDocument/2006/relationships/hyperlink" Target="https://www.psychiatry.org/File%20Library/Psychiatrists/Cultural-Competency/IPV-Guide/APA-Guide-to-IPV-Among-Women.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823</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2020-09-20T11:01:00Z</dcterms:created>
  <dcterms:modified xsi:type="dcterms:W3CDTF">2020-09-20T11:01:00Z</dcterms:modified>
</cp:coreProperties>
</file>