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E0D1B2" w14:textId="77777777" w:rsidR="00EB0B27" w:rsidRDefault="00EB0B27" w:rsidP="00EB0B27">
      <w:pPr>
        <w:pStyle w:val="NormalWeb"/>
        <w:shd w:val="clear" w:color="auto" w:fill="E6E6E6"/>
        <w:spacing w:before="0" w:beforeAutospacing="0" w:after="0" w:afterAutospacing="0" w:line="468" w:lineRule="atLeast"/>
        <w:jc w:val="center"/>
        <w:rPr>
          <w:rFonts w:ascii="Georgia" w:hAnsi="Georgia"/>
          <w:color w:val="111111"/>
          <w:sz w:val="23"/>
          <w:szCs w:val="23"/>
        </w:rPr>
      </w:pPr>
      <w:r>
        <w:rPr>
          <w:color w:val="111111"/>
          <w:bdr w:val="none" w:sz="0" w:space="0" w:color="auto" w:frame="1"/>
        </w:rPr>
        <w:t>Week 9 Discussion</w:t>
      </w:r>
    </w:p>
    <w:p w14:paraId="37D97CA5" w14:textId="77777777" w:rsidR="00EB0B27" w:rsidRDefault="00EB0B27" w:rsidP="00EB0B27">
      <w:pPr>
        <w:pStyle w:val="NormalWeb"/>
        <w:shd w:val="clear" w:color="auto" w:fill="E6E6E6"/>
        <w:spacing w:before="0" w:beforeAutospacing="0" w:after="0" w:afterAutospacing="0" w:line="468" w:lineRule="atLeast"/>
        <w:jc w:val="center"/>
        <w:rPr>
          <w:rFonts w:ascii="Georgia" w:hAnsi="Georgia"/>
          <w:color w:val="111111"/>
          <w:sz w:val="23"/>
          <w:szCs w:val="23"/>
        </w:rPr>
      </w:pPr>
      <w:proofErr w:type="spellStart"/>
      <w:r>
        <w:rPr>
          <w:color w:val="111111"/>
          <w:bdr w:val="none" w:sz="0" w:space="0" w:color="auto" w:frame="1"/>
        </w:rPr>
        <w:t>Taymir</w:t>
      </w:r>
      <w:proofErr w:type="spellEnd"/>
      <w:r>
        <w:rPr>
          <w:color w:val="111111"/>
          <w:bdr w:val="none" w:sz="0" w:space="0" w:color="auto" w:frame="1"/>
        </w:rPr>
        <w:t xml:space="preserve"> Torres</w:t>
      </w:r>
    </w:p>
    <w:p w14:paraId="2D8F9DC2" w14:textId="77777777" w:rsidR="00EB0B27" w:rsidRDefault="00EB0B27" w:rsidP="00EB0B27">
      <w:pPr>
        <w:pStyle w:val="NormalWeb"/>
        <w:shd w:val="clear" w:color="auto" w:fill="E6E6E6"/>
        <w:spacing w:before="0" w:beforeAutospacing="0" w:after="0" w:afterAutospacing="0" w:line="468" w:lineRule="atLeast"/>
        <w:jc w:val="center"/>
        <w:rPr>
          <w:rFonts w:ascii="Georgia" w:hAnsi="Georgia"/>
          <w:color w:val="111111"/>
          <w:sz w:val="23"/>
          <w:szCs w:val="23"/>
        </w:rPr>
      </w:pPr>
      <w:r>
        <w:rPr>
          <w:color w:val="111111"/>
          <w:bdr w:val="none" w:sz="0" w:space="0" w:color="auto" w:frame="1"/>
        </w:rPr>
        <w:t>Nursing Role and Scope</w:t>
      </w:r>
    </w:p>
    <w:p w14:paraId="79A3F0D1" w14:textId="77777777" w:rsidR="00EB0B27" w:rsidRDefault="00EB0B27" w:rsidP="00EB0B27">
      <w:pPr>
        <w:pStyle w:val="NormalWeb"/>
        <w:shd w:val="clear" w:color="auto" w:fill="E6E6E6"/>
        <w:spacing w:before="0" w:beforeAutospacing="0" w:after="0" w:afterAutospacing="0" w:line="468" w:lineRule="atLeast"/>
        <w:jc w:val="center"/>
        <w:rPr>
          <w:rFonts w:ascii="Georgia" w:hAnsi="Georgia"/>
          <w:color w:val="111111"/>
          <w:sz w:val="23"/>
          <w:szCs w:val="23"/>
        </w:rPr>
      </w:pPr>
      <w:r>
        <w:rPr>
          <w:color w:val="111111"/>
          <w:bdr w:val="none" w:sz="0" w:space="0" w:color="auto" w:frame="1"/>
        </w:rPr>
        <w:t>Professor Lourdes Castaneda</w:t>
      </w:r>
    </w:p>
    <w:p w14:paraId="215A7DDC" w14:textId="77777777" w:rsidR="00EB0B27" w:rsidRDefault="00EB0B27" w:rsidP="00EB0B27">
      <w:pPr>
        <w:pStyle w:val="NormalWeb"/>
        <w:shd w:val="clear" w:color="auto" w:fill="E6E6E6"/>
        <w:spacing w:before="0" w:beforeAutospacing="0" w:after="0" w:afterAutospacing="0" w:line="468" w:lineRule="atLeast"/>
        <w:jc w:val="center"/>
        <w:rPr>
          <w:rFonts w:ascii="Georgia" w:hAnsi="Georgia"/>
          <w:color w:val="111111"/>
          <w:sz w:val="23"/>
          <w:szCs w:val="23"/>
        </w:rPr>
      </w:pPr>
      <w:r>
        <w:rPr>
          <w:color w:val="111111"/>
          <w:bdr w:val="none" w:sz="0" w:space="0" w:color="auto" w:frame="1"/>
        </w:rPr>
        <w:t>Florida National University</w:t>
      </w:r>
    </w:p>
    <w:p w14:paraId="279B252F" w14:textId="77777777" w:rsidR="00EB0B27" w:rsidRDefault="00EB0B27" w:rsidP="00EB0B27">
      <w:pPr>
        <w:pStyle w:val="NormalWeb"/>
        <w:shd w:val="clear" w:color="auto" w:fill="E6E6E6"/>
        <w:spacing w:before="0" w:beforeAutospacing="0" w:after="0" w:afterAutospacing="0" w:line="468" w:lineRule="atLeast"/>
        <w:jc w:val="center"/>
        <w:rPr>
          <w:rFonts w:ascii="Georgia" w:hAnsi="Georgia"/>
          <w:color w:val="111111"/>
          <w:sz w:val="23"/>
          <w:szCs w:val="23"/>
        </w:rPr>
      </w:pPr>
      <w:r>
        <w:rPr>
          <w:color w:val="111111"/>
          <w:bdr w:val="none" w:sz="0" w:space="0" w:color="auto" w:frame="1"/>
        </w:rPr>
        <w:t>Oct 29, 2019</w:t>
      </w:r>
    </w:p>
    <w:p w14:paraId="05EE41C3" w14:textId="77777777" w:rsidR="00EB0B27" w:rsidRDefault="00EB0B27" w:rsidP="00EB0B27">
      <w:pPr>
        <w:pStyle w:val="NormalWeb"/>
        <w:shd w:val="clear" w:color="auto" w:fill="E6E6E6"/>
        <w:spacing w:before="0" w:beforeAutospacing="0" w:after="0" w:afterAutospacing="0" w:line="468" w:lineRule="atLeast"/>
        <w:jc w:val="center"/>
        <w:rPr>
          <w:rFonts w:ascii="Georgia" w:hAnsi="Georgia"/>
          <w:color w:val="111111"/>
          <w:sz w:val="23"/>
          <w:szCs w:val="23"/>
        </w:rPr>
      </w:pPr>
      <w:r>
        <w:rPr>
          <w:color w:val="111111"/>
          <w:bdr w:val="none" w:sz="0" w:space="0" w:color="auto" w:frame="1"/>
        </w:rPr>
        <w:t> </w:t>
      </w:r>
    </w:p>
    <w:p w14:paraId="205D8678" w14:textId="77777777" w:rsidR="00EB0B27" w:rsidRDefault="00EB0B27" w:rsidP="00EB0B27">
      <w:pPr>
        <w:pStyle w:val="NormalWeb"/>
        <w:shd w:val="clear" w:color="auto" w:fill="E6E6E6"/>
        <w:spacing w:before="0" w:beforeAutospacing="0" w:after="0" w:afterAutospacing="0"/>
        <w:rPr>
          <w:rFonts w:ascii="Georgia" w:hAnsi="Georgia"/>
          <w:color w:val="111111"/>
          <w:sz w:val="23"/>
          <w:szCs w:val="23"/>
        </w:rPr>
      </w:pPr>
      <w:r>
        <w:rPr>
          <w:color w:val="111111"/>
          <w:bdr w:val="none" w:sz="0" w:space="0" w:color="auto" w:frame="1"/>
        </w:rPr>
        <w:br w:type="textWrapping" w:clear="all"/>
      </w:r>
      <w:r>
        <w:rPr>
          <w:color w:val="111111"/>
          <w:bdr w:val="none" w:sz="0" w:space="0" w:color="auto" w:frame="1"/>
        </w:rPr>
        <w:br/>
      </w:r>
    </w:p>
    <w:p w14:paraId="3EFC7F03"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color w:val="111111"/>
          <w:bdr w:val="none" w:sz="0" w:space="0" w:color="auto" w:frame="1"/>
        </w:rPr>
        <w:t> </w:t>
      </w:r>
    </w:p>
    <w:p w14:paraId="77A172A0"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b/>
          <w:bCs/>
          <w:color w:val="000000"/>
          <w:bdr w:val="none" w:sz="0" w:space="0" w:color="auto" w:frame="1"/>
          <w:shd w:val="clear" w:color="auto" w:fill="FFFFFF"/>
        </w:rPr>
        <w:t>1.</w:t>
      </w:r>
    </w:p>
    <w:p w14:paraId="07B74A7B" w14:textId="77777777" w:rsidR="00EB0B27" w:rsidRDefault="00EB0B27" w:rsidP="00EB0B27">
      <w:pPr>
        <w:pStyle w:val="NormalWeb"/>
        <w:shd w:val="clear" w:color="auto" w:fill="E6E6E6"/>
        <w:spacing w:before="0" w:beforeAutospacing="0" w:after="0" w:afterAutospacing="0" w:line="468" w:lineRule="atLeast"/>
        <w:ind w:firstLine="720"/>
        <w:rPr>
          <w:rFonts w:ascii="Georgia" w:hAnsi="Georgia"/>
          <w:color w:val="111111"/>
          <w:sz w:val="23"/>
          <w:szCs w:val="23"/>
        </w:rPr>
      </w:pPr>
      <w:r>
        <w:rPr>
          <w:color w:val="000000"/>
          <w:bdr w:val="none" w:sz="0" w:space="0" w:color="auto" w:frame="1"/>
          <w:shd w:val="clear" w:color="auto" w:fill="FFFFFF"/>
        </w:rPr>
        <w:t>The professional practice of nursing implies the responsibility of its judgments and actions and is governed by the legal and ethical aspects of the discipline. Failure to comply with legal obligations leads the professional to penalties that can range from an administrative nature to those of a penal nature. Therefore, the role of the nurse to improve the quality of health care is based on compliance with the aspects considered quality guarantors, necessary for the patient's well-being and to avoid adverse health effects such as: falls, re-interventions, infections , pressure ulcers and dissatisfaction with the treatment received, all situations that have an impact on the costs associated with complications, affect the institutional and professional image and lead to legal implications such as civil and penal liability (</w:t>
      </w:r>
      <w:r>
        <w:rPr>
          <w:color w:val="111111"/>
          <w:bdr w:val="none" w:sz="0" w:space="0" w:color="auto" w:frame="1"/>
        </w:rPr>
        <w:t>Gallagher, 2019)</w:t>
      </w:r>
      <w:r>
        <w:rPr>
          <w:color w:val="000000"/>
          <w:bdr w:val="none" w:sz="0" w:space="0" w:color="auto" w:frame="1"/>
          <w:shd w:val="clear" w:color="auto" w:fill="FFFFFF"/>
        </w:rPr>
        <w:t>.</w:t>
      </w:r>
    </w:p>
    <w:p w14:paraId="1DB108F5" w14:textId="77777777" w:rsidR="00EB0B27" w:rsidRDefault="00EB0B27" w:rsidP="00EB0B27">
      <w:pPr>
        <w:pStyle w:val="NormalWeb"/>
        <w:shd w:val="clear" w:color="auto" w:fill="E6E6E6"/>
        <w:spacing w:before="0" w:beforeAutospacing="0" w:after="0" w:afterAutospacing="0" w:line="468" w:lineRule="atLeast"/>
        <w:ind w:firstLine="720"/>
        <w:rPr>
          <w:rFonts w:ascii="Georgia" w:hAnsi="Georgia"/>
          <w:color w:val="111111"/>
          <w:sz w:val="23"/>
          <w:szCs w:val="23"/>
        </w:rPr>
      </w:pPr>
      <w:r>
        <w:rPr>
          <w:color w:val="000000"/>
          <w:bdr w:val="none" w:sz="0" w:space="0" w:color="auto" w:frame="1"/>
          <w:shd w:val="clear" w:color="auto" w:fill="FFFFFF"/>
        </w:rPr>
        <w:t xml:space="preserve">On the other hand, the role of nurses is directly related to quality since they are perceived as providers of satisfaction. Patient satisfaction is related to the perception of the quality of care they receive. When patients disagree with the quality of care, they can be </w:t>
      </w:r>
      <w:proofErr w:type="spellStart"/>
      <w:r>
        <w:rPr>
          <w:color w:val="000000"/>
          <w:bdr w:val="none" w:sz="0" w:space="0" w:color="auto" w:frame="1"/>
          <w:shd w:val="clear" w:color="auto" w:fill="FFFFFF"/>
        </w:rPr>
        <w:t>unconformed</w:t>
      </w:r>
      <w:proofErr w:type="spellEnd"/>
      <w:r>
        <w:rPr>
          <w:color w:val="000000"/>
          <w:bdr w:val="none" w:sz="0" w:space="0" w:color="auto" w:frame="1"/>
          <w:shd w:val="clear" w:color="auto" w:fill="FFFFFF"/>
        </w:rPr>
        <w:t>. Therefore, health institutions have implemented strategies that give better results in the health of patients and their families, increasing satisfaction with adequate care (</w:t>
      </w:r>
      <w:r>
        <w:rPr>
          <w:color w:val="111111"/>
          <w:bdr w:val="none" w:sz="0" w:space="0" w:color="auto" w:frame="1"/>
        </w:rPr>
        <w:t>Stone, 2017)</w:t>
      </w:r>
      <w:r>
        <w:rPr>
          <w:color w:val="000000"/>
          <w:bdr w:val="none" w:sz="0" w:space="0" w:color="auto" w:frame="1"/>
          <w:shd w:val="clear" w:color="auto" w:fill="FFFFFF"/>
        </w:rPr>
        <w:t>.</w:t>
      </w:r>
    </w:p>
    <w:p w14:paraId="2BB1624B" w14:textId="77777777" w:rsidR="00EB0B27" w:rsidRDefault="00EB0B27" w:rsidP="00EB0B27">
      <w:pPr>
        <w:pStyle w:val="NormalWeb"/>
        <w:shd w:val="clear" w:color="auto" w:fill="E6E6E6"/>
        <w:spacing w:before="0" w:beforeAutospacing="0" w:after="0" w:afterAutospacing="0" w:line="468" w:lineRule="atLeast"/>
        <w:ind w:firstLine="720"/>
        <w:rPr>
          <w:rFonts w:ascii="Georgia" w:hAnsi="Georgia"/>
          <w:color w:val="111111"/>
          <w:sz w:val="23"/>
          <w:szCs w:val="23"/>
        </w:rPr>
      </w:pPr>
      <w:r>
        <w:rPr>
          <w:color w:val="000000"/>
          <w:bdr w:val="none" w:sz="0" w:space="0" w:color="auto" w:frame="1"/>
          <w:shd w:val="clear" w:color="auto" w:fill="FFFFFF"/>
        </w:rPr>
        <w:t xml:space="preserve">Therefore, quality is considered in two dimensions. First, the technical quality that requires the competencies and responsibilities of nursing professionals to apply their knowledge </w:t>
      </w:r>
      <w:r>
        <w:rPr>
          <w:color w:val="000000"/>
          <w:bdr w:val="none" w:sz="0" w:space="0" w:color="auto" w:frame="1"/>
          <w:shd w:val="clear" w:color="auto" w:fill="FFFFFF"/>
        </w:rPr>
        <w:lastRenderedPageBreak/>
        <w:t xml:space="preserve">and skills in all the care they </w:t>
      </w:r>
      <w:proofErr w:type="gramStart"/>
      <w:r>
        <w:rPr>
          <w:color w:val="000000"/>
          <w:bdr w:val="none" w:sz="0" w:space="0" w:color="auto" w:frame="1"/>
          <w:shd w:val="clear" w:color="auto" w:fill="FFFFFF"/>
        </w:rPr>
        <w:t>offer</w:t>
      </w:r>
      <w:proofErr w:type="gramEnd"/>
      <w:r>
        <w:rPr>
          <w:color w:val="000000"/>
          <w:bdr w:val="none" w:sz="0" w:space="0" w:color="auto" w:frame="1"/>
          <w:shd w:val="clear" w:color="auto" w:fill="FFFFFF"/>
        </w:rPr>
        <w:t xml:space="preserve"> and interpersonal quality understood as the dignified treatment that distinguishes nursing care and whose characteristic features are communication, trust, and respect. That is, nurses from their activities must demonstrate and offer their best skills, demonstrate effective communication, build trust, and offer respect (</w:t>
      </w:r>
      <w:r>
        <w:rPr>
          <w:color w:val="111111"/>
          <w:bdr w:val="none" w:sz="0" w:space="0" w:color="auto" w:frame="1"/>
        </w:rPr>
        <w:t>Stone, 2017)</w:t>
      </w:r>
      <w:r>
        <w:rPr>
          <w:color w:val="000000"/>
          <w:bdr w:val="none" w:sz="0" w:space="0" w:color="auto" w:frame="1"/>
          <w:shd w:val="clear" w:color="auto" w:fill="FFFFFF"/>
        </w:rPr>
        <w:t>.</w:t>
      </w:r>
    </w:p>
    <w:p w14:paraId="4F148F11"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color w:val="000000"/>
          <w:bdr w:val="none" w:sz="0" w:space="0" w:color="auto" w:frame="1"/>
          <w:shd w:val="clear" w:color="auto" w:fill="FFFFFF"/>
        </w:rPr>
        <w:t>2.</w:t>
      </w:r>
    </w:p>
    <w:p w14:paraId="62C16560" w14:textId="77777777" w:rsidR="00EB0B27" w:rsidRDefault="00EB0B27" w:rsidP="00EB0B27">
      <w:pPr>
        <w:pStyle w:val="NormalWeb"/>
        <w:shd w:val="clear" w:color="auto" w:fill="E6E6E6"/>
        <w:spacing w:before="0" w:beforeAutospacing="0" w:after="0" w:afterAutospacing="0" w:line="468" w:lineRule="atLeast"/>
        <w:ind w:firstLine="720"/>
        <w:rPr>
          <w:rFonts w:ascii="Georgia" w:hAnsi="Georgia"/>
          <w:color w:val="111111"/>
          <w:sz w:val="23"/>
          <w:szCs w:val="23"/>
        </w:rPr>
      </w:pPr>
      <w:r>
        <w:rPr>
          <w:color w:val="111111"/>
          <w:bdr w:val="none" w:sz="0" w:space="0" w:color="auto" w:frame="1"/>
        </w:rPr>
        <w:t>National Quality Forum</w:t>
      </w:r>
      <w:r>
        <w:rPr>
          <w:color w:val="000000"/>
          <w:bdr w:val="none" w:sz="0" w:space="0" w:color="auto" w:frame="1"/>
          <w:shd w:val="clear" w:color="auto" w:fill="FFFFFF"/>
        </w:rPr>
        <w:t xml:space="preserve"> (NQF)-Endorsed nursing-sensitive measurements for effective monitoring to ensure care and care in the healthcare </w:t>
      </w:r>
      <w:proofErr w:type="gramStart"/>
      <w:r>
        <w:rPr>
          <w:color w:val="000000"/>
          <w:bdr w:val="none" w:sz="0" w:space="0" w:color="auto" w:frame="1"/>
          <w:shd w:val="clear" w:color="auto" w:fill="FFFFFF"/>
        </w:rPr>
        <w:t>environment  .</w:t>
      </w:r>
      <w:proofErr w:type="gramEnd"/>
    </w:p>
    <w:p w14:paraId="305B0ACA" w14:textId="77777777" w:rsidR="00EB0B27" w:rsidRDefault="00EB0B27" w:rsidP="00EB0B27">
      <w:pPr>
        <w:pStyle w:val="NormalWeb"/>
        <w:shd w:val="clear" w:color="auto" w:fill="E6E6E6"/>
        <w:spacing w:before="0" w:beforeAutospacing="0" w:after="0" w:afterAutospacing="0" w:line="468" w:lineRule="atLeast"/>
        <w:ind w:firstLine="720"/>
        <w:rPr>
          <w:rFonts w:ascii="Georgia" w:hAnsi="Georgia"/>
          <w:color w:val="111111"/>
          <w:sz w:val="23"/>
          <w:szCs w:val="23"/>
        </w:rPr>
      </w:pPr>
      <w:r>
        <w:rPr>
          <w:color w:val="000000"/>
          <w:bdr w:val="none" w:sz="0" w:space="0" w:color="auto" w:frame="1"/>
          <w:shd w:val="clear" w:color="auto" w:fill="FFFFFF"/>
        </w:rPr>
        <w:t>Patient-centered measures. First, deaths due to preventable complications in the surgical unit; Second, occurrence of pressure ulcers during the hospital stay; Third, occurrence of daily falls of hospitalized patients; Fourth, falls of hospitalized patients with injuries; Fifth, hospitalized patients with mobility limitations by vest; Sixth, occurrence of patients with urinary catheter due to infection in the ICU; Seventh, case of infection of the bloodstream in patients with intravenous catheter in the intensive care unit; Eighth, pneumonia as a result of the use of fans in the intensive care unit(NQF</w:t>
      </w:r>
      <w:r>
        <w:rPr>
          <w:color w:val="111111"/>
          <w:bdr w:val="none" w:sz="0" w:space="0" w:color="auto" w:frame="1"/>
        </w:rPr>
        <w:t>, 2004)</w:t>
      </w:r>
      <w:r>
        <w:rPr>
          <w:color w:val="000000"/>
          <w:bdr w:val="none" w:sz="0" w:space="0" w:color="auto" w:frame="1"/>
          <w:shd w:val="clear" w:color="auto" w:fill="FFFFFF"/>
        </w:rPr>
        <w:t>.</w:t>
      </w:r>
    </w:p>
    <w:p w14:paraId="2FB9A4FA" w14:textId="77777777" w:rsidR="00EB0B27" w:rsidRDefault="00EB0B27" w:rsidP="00EB0B27">
      <w:pPr>
        <w:pStyle w:val="NormalWeb"/>
        <w:shd w:val="clear" w:color="auto" w:fill="E6E6E6"/>
        <w:spacing w:before="0" w:beforeAutospacing="0" w:after="0" w:afterAutospacing="0" w:line="468" w:lineRule="atLeast"/>
        <w:ind w:firstLine="720"/>
        <w:rPr>
          <w:rFonts w:ascii="Georgia" w:hAnsi="Georgia"/>
          <w:color w:val="111111"/>
          <w:sz w:val="23"/>
          <w:szCs w:val="23"/>
        </w:rPr>
      </w:pPr>
      <w:r>
        <w:rPr>
          <w:color w:val="000000"/>
          <w:bdr w:val="none" w:sz="0" w:space="0" w:color="auto" w:frame="1"/>
          <w:shd w:val="clear" w:color="auto" w:fill="FFFFFF"/>
        </w:rPr>
        <w:t>System-centered measures. First, Skill mix, Percentage of registered nurse, licensed vocational / practical nurse, unlicensed assistive personnel, and contracted nurse care hours to total nursing care hours; Second, daily care hours to care for each patient, number of daily RNs and number of hours in patient care vs. the number of patients and care needs; Third, indicator of nursing work-practice environment consisting of 5 sub-scales, 1) participation of nurses, 2) quality assumptions, 3) indicators of the Manager's commitment -nursing with nurses, 4) disposition of nursing staff and medical resources, 5) collegiality of nurse-physician relations (NQF</w:t>
      </w:r>
      <w:r>
        <w:rPr>
          <w:color w:val="111111"/>
          <w:bdr w:val="none" w:sz="0" w:space="0" w:color="auto" w:frame="1"/>
        </w:rPr>
        <w:t>, 2004)</w:t>
      </w:r>
      <w:r>
        <w:rPr>
          <w:color w:val="000000"/>
          <w:bdr w:val="none" w:sz="0" w:space="0" w:color="auto" w:frame="1"/>
          <w:shd w:val="clear" w:color="auto" w:fill="FFFFFF"/>
        </w:rPr>
        <w:t>.</w:t>
      </w:r>
    </w:p>
    <w:p w14:paraId="7FFACA22" w14:textId="77777777" w:rsidR="00EB0B27" w:rsidRDefault="00EB0B27" w:rsidP="00EB0B27">
      <w:pPr>
        <w:pStyle w:val="NormalWeb"/>
        <w:shd w:val="clear" w:color="auto" w:fill="E6E6E6"/>
        <w:spacing w:before="0" w:beforeAutospacing="0" w:after="0" w:afterAutospacing="0" w:line="468" w:lineRule="atLeast"/>
        <w:ind w:firstLine="720"/>
        <w:rPr>
          <w:rFonts w:ascii="Georgia" w:hAnsi="Georgia"/>
          <w:color w:val="111111"/>
          <w:sz w:val="23"/>
          <w:szCs w:val="23"/>
        </w:rPr>
      </w:pPr>
      <w:r>
        <w:rPr>
          <w:color w:val="000000"/>
          <w:bdr w:val="none" w:sz="0" w:space="0" w:color="auto" w:frame="1"/>
          <w:shd w:val="clear" w:color="auto" w:fill="FFFFFF"/>
        </w:rPr>
        <w:t> </w:t>
      </w:r>
    </w:p>
    <w:p w14:paraId="532966D9"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color w:val="000000"/>
          <w:bdr w:val="none" w:sz="0" w:space="0" w:color="auto" w:frame="1"/>
          <w:shd w:val="clear" w:color="auto" w:fill="FFFFFF"/>
        </w:rPr>
        <w:t> </w:t>
      </w:r>
    </w:p>
    <w:p w14:paraId="765B6D44"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color w:val="000000"/>
          <w:bdr w:val="none" w:sz="0" w:space="0" w:color="auto" w:frame="1"/>
          <w:shd w:val="clear" w:color="auto" w:fill="FFFFFF"/>
        </w:rPr>
        <w:t> </w:t>
      </w:r>
    </w:p>
    <w:p w14:paraId="2C7BD320"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color w:val="000000"/>
          <w:bdr w:val="none" w:sz="0" w:space="0" w:color="auto" w:frame="1"/>
          <w:shd w:val="clear" w:color="auto" w:fill="FFFFFF"/>
        </w:rPr>
        <w:t> </w:t>
      </w:r>
    </w:p>
    <w:p w14:paraId="255F2B33"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color w:val="000000"/>
          <w:bdr w:val="none" w:sz="0" w:space="0" w:color="auto" w:frame="1"/>
          <w:shd w:val="clear" w:color="auto" w:fill="FFFFFF"/>
        </w:rPr>
        <w:t> </w:t>
      </w:r>
    </w:p>
    <w:p w14:paraId="4F08FC53"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color w:val="000000"/>
          <w:bdr w:val="none" w:sz="0" w:space="0" w:color="auto" w:frame="1"/>
          <w:shd w:val="clear" w:color="auto" w:fill="FFFFFF"/>
        </w:rPr>
        <w:lastRenderedPageBreak/>
        <w:t> </w:t>
      </w:r>
    </w:p>
    <w:p w14:paraId="26C4C9DB" w14:textId="77777777" w:rsidR="00EB0B27" w:rsidRDefault="00EB0B27" w:rsidP="00EB0B27">
      <w:pPr>
        <w:pStyle w:val="NormalWeb"/>
        <w:shd w:val="clear" w:color="auto" w:fill="E6E6E6"/>
        <w:spacing w:before="0" w:beforeAutospacing="0" w:after="0" w:afterAutospacing="0" w:line="468" w:lineRule="atLeast"/>
        <w:ind w:firstLine="360"/>
        <w:rPr>
          <w:rFonts w:ascii="Georgia" w:hAnsi="Georgia"/>
          <w:color w:val="111111"/>
          <w:sz w:val="23"/>
          <w:szCs w:val="23"/>
        </w:rPr>
      </w:pPr>
      <w:r>
        <w:rPr>
          <w:color w:val="000000"/>
          <w:bdr w:val="none" w:sz="0" w:space="0" w:color="auto" w:frame="1"/>
          <w:shd w:val="clear" w:color="auto" w:fill="FFFFFF"/>
        </w:rPr>
        <w:t>     </w:t>
      </w:r>
    </w:p>
    <w:p w14:paraId="668097E5" w14:textId="77777777" w:rsidR="00EB0B27" w:rsidRDefault="00EB0B27" w:rsidP="00EB0B27">
      <w:pPr>
        <w:pStyle w:val="NormalWeb"/>
        <w:shd w:val="clear" w:color="auto" w:fill="E6E6E6"/>
        <w:spacing w:before="0" w:beforeAutospacing="0" w:after="0" w:afterAutospacing="0" w:line="468" w:lineRule="atLeast"/>
        <w:jc w:val="center"/>
        <w:rPr>
          <w:rFonts w:ascii="Georgia" w:hAnsi="Georgia"/>
          <w:color w:val="111111"/>
          <w:sz w:val="23"/>
          <w:szCs w:val="23"/>
        </w:rPr>
      </w:pPr>
      <w:r>
        <w:rPr>
          <w:b/>
          <w:bCs/>
          <w:color w:val="000000"/>
          <w:bdr w:val="none" w:sz="0" w:space="0" w:color="auto" w:frame="1"/>
          <w:shd w:val="clear" w:color="auto" w:fill="FFFFFF"/>
        </w:rPr>
        <w:t>References</w:t>
      </w:r>
    </w:p>
    <w:p w14:paraId="6E501503" w14:textId="77777777" w:rsidR="00EB0B27" w:rsidRDefault="00EB0B27" w:rsidP="00EB0B27">
      <w:pPr>
        <w:pStyle w:val="NormalWeb"/>
        <w:shd w:val="clear" w:color="auto" w:fill="FFFFFF"/>
        <w:spacing w:before="0" w:beforeAutospacing="0" w:after="0" w:afterAutospacing="0" w:line="468" w:lineRule="atLeast"/>
        <w:ind w:hanging="330"/>
        <w:rPr>
          <w:rFonts w:ascii="Georgia" w:hAnsi="Georgia"/>
          <w:color w:val="111111"/>
          <w:sz w:val="23"/>
          <w:szCs w:val="23"/>
        </w:rPr>
      </w:pPr>
      <w:proofErr w:type="gramStart"/>
      <w:r>
        <w:rPr>
          <w:color w:val="111111"/>
          <w:bdr w:val="none" w:sz="0" w:space="0" w:color="auto" w:frame="1"/>
        </w:rPr>
        <w:t>Gallagher ,</w:t>
      </w:r>
      <w:proofErr w:type="gramEnd"/>
      <w:r>
        <w:rPr>
          <w:color w:val="111111"/>
          <w:bdr w:val="none" w:sz="0" w:space="0" w:color="auto" w:frame="1"/>
        </w:rPr>
        <w:t xml:space="preserve"> R.M. (2019). “Participation of the advanced practice nurse in managed care and quality initiatives,” in Joel, L.A. Advanced Practice Nursing: Essentials for Role Development, Second Edition. Philadelphia, PA: F.A. Davis Company.</w:t>
      </w:r>
    </w:p>
    <w:p w14:paraId="114318B7" w14:textId="77777777" w:rsidR="00EB0B27" w:rsidRDefault="00EB0B27" w:rsidP="00EB0B27">
      <w:pPr>
        <w:pStyle w:val="NormalWeb"/>
        <w:shd w:val="clear" w:color="auto" w:fill="FFFFFF"/>
        <w:spacing w:before="0" w:beforeAutospacing="0" w:after="0" w:afterAutospacing="0" w:line="468" w:lineRule="atLeast"/>
        <w:ind w:hanging="330"/>
        <w:rPr>
          <w:rFonts w:ascii="Georgia" w:hAnsi="Georgia"/>
          <w:color w:val="111111"/>
          <w:sz w:val="23"/>
          <w:szCs w:val="23"/>
        </w:rPr>
      </w:pPr>
      <w:r>
        <w:rPr>
          <w:color w:val="111111"/>
          <w:bdr w:val="none" w:sz="0" w:space="0" w:color="auto" w:frame="1"/>
        </w:rPr>
        <w:t>Stone, P.W., et al. (2017). “Nurse Working Conditions and Patient Safety Outcomes,” Medical Care, 45(6): 571-578.</w:t>
      </w:r>
    </w:p>
    <w:p w14:paraId="5617EB70" w14:textId="77777777" w:rsidR="00EB0B27" w:rsidRDefault="00EB0B27" w:rsidP="00EB0B27">
      <w:pPr>
        <w:pStyle w:val="NormalWeb"/>
        <w:shd w:val="clear" w:color="auto" w:fill="FFFFFF"/>
        <w:spacing w:before="0" w:beforeAutospacing="0" w:after="0" w:afterAutospacing="0" w:line="468" w:lineRule="atLeast"/>
        <w:ind w:hanging="330"/>
        <w:rPr>
          <w:rFonts w:ascii="Georgia" w:hAnsi="Georgia"/>
          <w:color w:val="111111"/>
          <w:sz w:val="23"/>
          <w:szCs w:val="23"/>
        </w:rPr>
      </w:pPr>
      <w:proofErr w:type="gramStart"/>
      <w:r>
        <w:rPr>
          <w:color w:val="111111"/>
          <w:bdr w:val="none" w:sz="0" w:space="0" w:color="auto" w:frame="1"/>
        </w:rPr>
        <w:t>NFQ .</w:t>
      </w:r>
      <w:proofErr w:type="gramEnd"/>
      <w:r>
        <w:rPr>
          <w:color w:val="111111"/>
          <w:bdr w:val="none" w:sz="0" w:space="0" w:color="auto" w:frame="1"/>
        </w:rPr>
        <w:t xml:space="preserve"> (2004). National Voluntary Consensus Standards for Nursing-Sensitive Care: An Initial Performance Measure Set. Washington, DC: National Quality Forum.</w:t>
      </w:r>
    </w:p>
    <w:p w14:paraId="6EB0020C" w14:textId="77777777" w:rsidR="00EB0B27" w:rsidRDefault="00EB0B27" w:rsidP="00EB0B27">
      <w:pPr>
        <w:pStyle w:val="NormalWeb"/>
        <w:shd w:val="clear" w:color="auto" w:fill="E6E6E6"/>
        <w:spacing w:before="0" w:beforeAutospacing="0" w:after="0" w:afterAutospacing="0" w:line="468" w:lineRule="atLeast"/>
        <w:rPr>
          <w:rFonts w:ascii="Georgia" w:hAnsi="Georgia"/>
          <w:color w:val="111111"/>
          <w:sz w:val="23"/>
          <w:szCs w:val="23"/>
        </w:rPr>
      </w:pPr>
      <w:r>
        <w:rPr>
          <w:color w:val="000000"/>
          <w:bdr w:val="none" w:sz="0" w:space="0" w:color="auto" w:frame="1"/>
          <w:shd w:val="clear" w:color="auto" w:fill="FFFFFF"/>
        </w:rPr>
        <w:t> </w:t>
      </w:r>
    </w:p>
    <w:p w14:paraId="714B88CF" w14:textId="77777777" w:rsidR="00B4047D" w:rsidRDefault="00B4047D">
      <w:bookmarkStart w:id="0" w:name="_GoBack"/>
      <w:bookmarkEnd w:id="0"/>
    </w:p>
    <w:sectPr w:rsidR="00B404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0B27"/>
    <w:rsid w:val="009C178C"/>
    <w:rsid w:val="00B4047D"/>
    <w:rsid w:val="00EB0B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797E0"/>
  <w15:chartTrackingRefBased/>
  <w15:docId w15:val="{249FB915-B3CA-4CAD-8195-C3DBBF760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B0B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4419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597</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Dilsy Ricardo</dc:creator>
  <cp:keywords/>
  <dc:description/>
  <cp:lastModifiedBy>Dilsy Ricardo</cp:lastModifiedBy>
  <cp:revision>1</cp:revision>
  <dcterms:created xsi:type="dcterms:W3CDTF">2019-10-29T21:22:00Z</dcterms:created>
  <dcterms:modified xsi:type="dcterms:W3CDTF">2019-10-29T21:23:00Z</dcterms:modified>
</cp:coreProperties>
</file>