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2C9CA"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 xml:space="preserve">Maria </w:t>
      </w:r>
      <w:proofErr w:type="spellStart"/>
      <w:r w:rsidRPr="00701747">
        <w:rPr>
          <w:rFonts w:ascii="Arial" w:eastAsia="Times New Roman" w:hAnsi="Arial" w:cs="Arial"/>
          <w:color w:val="000000"/>
          <w:bdr w:val="none" w:sz="0" w:space="0" w:color="auto" w:frame="1"/>
        </w:rPr>
        <w:t>Lazarte</w:t>
      </w:r>
      <w:proofErr w:type="spellEnd"/>
    </w:p>
    <w:p w14:paraId="6AA43E98"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Florida National University</w:t>
      </w:r>
    </w:p>
    <w:p w14:paraId="3A0242EF"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Nursing Department</w:t>
      </w:r>
    </w:p>
    <w:p w14:paraId="03CE8C04"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BSN Program</w:t>
      </w:r>
    </w:p>
    <w:p w14:paraId="25DE29FB"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Community Nursing</w:t>
      </w:r>
    </w:p>
    <w:p w14:paraId="56FD4252"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Sep 16, 2019</w:t>
      </w:r>
    </w:p>
    <w:p w14:paraId="4CE63036" w14:textId="77777777" w:rsidR="00701747" w:rsidRPr="00701747" w:rsidRDefault="00701747" w:rsidP="00701747">
      <w:pPr>
        <w:shd w:val="clear" w:color="auto" w:fill="E6E6E6"/>
        <w:spacing w:line="351" w:lineRule="atLeast"/>
        <w:ind w:left="0" w:firstLine="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Prof. Eddie Cruz, RN MSN</w:t>
      </w:r>
      <w:bookmarkStart w:id="0" w:name="_GoBack"/>
      <w:bookmarkEnd w:id="0"/>
    </w:p>
    <w:p w14:paraId="35D45B17" w14:textId="77777777" w:rsidR="00701747" w:rsidRPr="00701747" w:rsidRDefault="00701747" w:rsidP="00701747">
      <w:pPr>
        <w:shd w:val="clear" w:color="auto" w:fill="E6E6E6"/>
        <w:spacing w:line="468" w:lineRule="atLeast"/>
        <w:ind w:left="0" w:firstLine="0"/>
        <w:jc w:val="center"/>
        <w:rPr>
          <w:rFonts w:ascii="Georgia" w:eastAsia="Times New Roman" w:hAnsi="Georgia"/>
          <w:color w:val="111111"/>
          <w:sz w:val="23"/>
          <w:szCs w:val="23"/>
        </w:rPr>
      </w:pPr>
      <w:r w:rsidRPr="00701747">
        <w:rPr>
          <w:rFonts w:ascii="Arial" w:eastAsia="Times New Roman" w:hAnsi="Arial" w:cs="Arial"/>
          <w:color w:val="111111"/>
          <w:bdr w:val="none" w:sz="0" w:space="0" w:color="auto" w:frame="1"/>
        </w:rPr>
        <w:t> </w:t>
      </w:r>
    </w:p>
    <w:p w14:paraId="2EB7422B" w14:textId="77777777" w:rsidR="00701747" w:rsidRPr="00701747" w:rsidRDefault="00701747" w:rsidP="00701747">
      <w:pPr>
        <w:numPr>
          <w:ilvl w:val="0"/>
          <w:numId w:val="1"/>
        </w:numPr>
        <w:shd w:val="clear" w:color="auto" w:fill="E6E6E6"/>
        <w:ind w:left="1080"/>
        <w:rPr>
          <w:rFonts w:ascii="inherit" w:eastAsia="Times New Roman" w:hAnsi="inherit" w:cs="Tahoma"/>
          <w:color w:val="111111"/>
          <w:sz w:val="20"/>
          <w:szCs w:val="20"/>
        </w:rPr>
      </w:pPr>
      <w:r w:rsidRPr="00701747">
        <w:rPr>
          <w:rFonts w:ascii="Arial" w:eastAsia="Times New Roman" w:hAnsi="Arial" w:cs="Arial"/>
          <w:color w:val="000000"/>
          <w:bdr w:val="none" w:sz="0" w:space="0" w:color="auto" w:frame="1"/>
        </w:rPr>
        <w:t>Structure of the government and the policy development process</w:t>
      </w:r>
    </w:p>
    <w:p w14:paraId="47724A08"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Public policies can be defined as the set of actions that the government determines necessary to delimit the strategies that must be used to achieve some of the goals proposed by the government in the short, medium and long term. These goals are generally formulated to respond to the needs of the population. Therefore, the relationship between the state and society is regulated by the dynamics established by public policies, as these attempt to control the commitments made by the government for the citizens (Goswami, 2015).</w:t>
      </w:r>
    </w:p>
    <w:p w14:paraId="068EE9A7"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An example of these are the state policies of the health system, conformed by human, financial, legal, technical and cultural resources, which aim to solve the main health problems that attack society. They are based on the development, and effective functioning of the health system and all the services that compose them (pediatrics, oncology, gerontology ...) (Goswami, 2015).</w:t>
      </w:r>
    </w:p>
    <w:p w14:paraId="33A66FDB"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The formulation of policies about the health system has basic processes, such as planning based on the reality of society from a political perspective, since it is not the same to develop health policies from primary care centers or emergency centers. It ends with the initial evaluation process, which measures the impact of the problems on the health and integrity of the citizens and the final evaluation, measures the reduction of the effect of these problems based on public policies. Therefore, the effectiveness of public policies is measured, to finally be promulgated as part of the country's political muscle (Goswami, 2015).</w:t>
      </w:r>
    </w:p>
    <w:p w14:paraId="131DE347" w14:textId="77777777" w:rsidR="00701747" w:rsidRPr="00701747" w:rsidRDefault="00701747" w:rsidP="00701747">
      <w:pPr>
        <w:numPr>
          <w:ilvl w:val="0"/>
          <w:numId w:val="2"/>
        </w:numPr>
        <w:shd w:val="clear" w:color="auto" w:fill="E6E6E6"/>
        <w:ind w:left="1080"/>
        <w:rPr>
          <w:rFonts w:ascii="inherit" w:eastAsia="Times New Roman" w:hAnsi="inherit" w:cs="Tahoma"/>
          <w:color w:val="111111"/>
          <w:sz w:val="20"/>
          <w:szCs w:val="20"/>
        </w:rPr>
      </w:pPr>
      <w:r w:rsidRPr="00701747">
        <w:rPr>
          <w:rFonts w:ascii="Arial" w:eastAsia="Times New Roman" w:hAnsi="Arial" w:cs="Arial"/>
          <w:color w:val="000000"/>
          <w:bdr w:val="none" w:sz="0" w:space="0" w:color="auto" w:frame="1"/>
        </w:rPr>
        <w:t>Processes involved in establishing federal healthcare policies</w:t>
      </w:r>
    </w:p>
    <w:p w14:paraId="7CA4CF8A"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lastRenderedPageBreak/>
        <w:t>Any proposal that seeks to reach the figure of law begins as an idea that can be suggested by any citizen. This idea must be exposed to the congressmen or any member of the House of Representatives or the Senate. After the initial revisions, the idea enters the congress mailbox; it must be sent by a representative of the Senate or the Chamber (</w:t>
      </w:r>
      <w:proofErr w:type="spellStart"/>
      <w:r w:rsidRPr="00701747">
        <w:rPr>
          <w:rFonts w:ascii="Arial" w:eastAsia="Times New Roman" w:hAnsi="Arial" w:cs="Arial"/>
          <w:color w:val="000000"/>
          <w:bdr w:val="none" w:sz="0" w:space="0" w:color="auto" w:frame="1"/>
        </w:rPr>
        <w:t>Hedal</w:t>
      </w:r>
      <w:proofErr w:type="spellEnd"/>
      <w:r w:rsidRPr="00701747">
        <w:rPr>
          <w:rFonts w:ascii="Arial" w:eastAsia="Times New Roman" w:hAnsi="Arial" w:cs="Arial"/>
          <w:color w:val="000000"/>
          <w:bdr w:val="none" w:sz="0" w:space="0" w:color="auto" w:frame="1"/>
        </w:rPr>
        <w:t>, 2018).</w:t>
      </w:r>
    </w:p>
    <w:p w14:paraId="59BADC8A"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Subsequently, the idea enters a committee that forces senators or representatives to meet to exchange views, opinions, and improvements that suggest about the idea proposed by citizens. Finally, they should study the idea to formulate a project that supports the idea, to finally accept or reject the citizens' proposal (</w:t>
      </w:r>
      <w:proofErr w:type="spellStart"/>
      <w:r w:rsidRPr="00701747">
        <w:rPr>
          <w:rFonts w:ascii="Arial" w:eastAsia="Times New Roman" w:hAnsi="Arial" w:cs="Arial"/>
          <w:color w:val="000000"/>
          <w:bdr w:val="none" w:sz="0" w:space="0" w:color="auto" w:frame="1"/>
        </w:rPr>
        <w:t>Hedal</w:t>
      </w:r>
      <w:proofErr w:type="spellEnd"/>
      <w:r w:rsidRPr="00701747">
        <w:rPr>
          <w:rFonts w:ascii="Arial" w:eastAsia="Times New Roman" w:hAnsi="Arial" w:cs="Arial"/>
          <w:color w:val="000000"/>
          <w:bdr w:val="none" w:sz="0" w:space="0" w:color="auto" w:frame="1"/>
        </w:rPr>
        <w:t>, 2018).</w:t>
      </w:r>
    </w:p>
    <w:p w14:paraId="70AB7A43"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When the bill reaches the president, this government figure has the power to approve or reject it</w:t>
      </w:r>
    </w:p>
    <w:p w14:paraId="7D7E5E43" w14:textId="77777777" w:rsidR="00701747" w:rsidRPr="00701747" w:rsidRDefault="00701747" w:rsidP="00701747">
      <w:pPr>
        <w:numPr>
          <w:ilvl w:val="0"/>
          <w:numId w:val="3"/>
        </w:numPr>
        <w:shd w:val="clear" w:color="auto" w:fill="E6E6E6"/>
        <w:ind w:left="1080"/>
        <w:rPr>
          <w:rFonts w:ascii="inherit" w:eastAsia="Times New Roman" w:hAnsi="inherit" w:cs="Tahoma"/>
          <w:color w:val="111111"/>
          <w:sz w:val="20"/>
          <w:szCs w:val="20"/>
        </w:rPr>
      </w:pPr>
      <w:r w:rsidRPr="00701747">
        <w:rPr>
          <w:rFonts w:ascii="Arial" w:eastAsia="Times New Roman" w:hAnsi="Arial" w:cs="Arial"/>
          <w:color w:val="000000"/>
          <w:bdr w:val="none" w:sz="0" w:space="0" w:color="auto" w:frame="1"/>
        </w:rPr>
        <w:t>The organization of the public healthcare subsystem at the state, and local levels</w:t>
      </w:r>
    </w:p>
    <w:p w14:paraId="73F32F57"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Health services are offered to users by the private sector and insurance companies who allow the financing of health care. The federal government is responsible for providing health services for pensioners for military acts or situations. Likewise, the Department of Health and Human Services (HHS) aims to protect health and provide citizens with basic social services, including those who are economically disadvantaged and Indigenous populations (Fisher, 2018)</w:t>
      </w:r>
    </w:p>
    <w:p w14:paraId="536C1850" w14:textId="77777777" w:rsidR="00701747" w:rsidRPr="00701747" w:rsidRDefault="00701747" w:rsidP="00701747">
      <w:pPr>
        <w:numPr>
          <w:ilvl w:val="0"/>
          <w:numId w:val="4"/>
        </w:numPr>
        <w:shd w:val="clear" w:color="auto" w:fill="E6E6E6"/>
        <w:ind w:left="1080"/>
        <w:rPr>
          <w:rFonts w:ascii="inherit" w:eastAsia="Times New Roman" w:hAnsi="inherit" w:cs="Tahoma"/>
          <w:color w:val="111111"/>
          <w:sz w:val="20"/>
          <w:szCs w:val="20"/>
        </w:rPr>
      </w:pPr>
      <w:r w:rsidRPr="00701747">
        <w:rPr>
          <w:rFonts w:ascii="Arial" w:eastAsia="Times New Roman" w:hAnsi="Arial" w:cs="Arial"/>
          <w:color w:val="000000"/>
          <w:bdr w:val="none" w:sz="0" w:space="0" w:color="auto" w:frame="1"/>
        </w:rPr>
        <w:t>Factors that influence the cost of medical care</w:t>
      </w:r>
    </w:p>
    <w:p w14:paraId="74ED8AB4"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 xml:space="preserve">Medical costs are a susceptible aspect for American citizens and the government. The United States reports the most significant investment of GDP compared to the rest of the American continent, even though only 80% of citizens access to the health care system. On the other hand, costs can be broken down between those contributed and recorded by the government; and those required and spent by health systems and those reported by citizens. Variable costs are those that change according to performance and can be saved by hospitals </w:t>
      </w:r>
      <w:proofErr w:type="gramStart"/>
      <w:r w:rsidRPr="00701747">
        <w:rPr>
          <w:rFonts w:ascii="Arial" w:eastAsia="Times New Roman" w:hAnsi="Arial" w:cs="Arial"/>
          <w:color w:val="000000"/>
          <w:bdr w:val="none" w:sz="0" w:space="0" w:color="auto" w:frame="1"/>
        </w:rPr>
        <w:t>as long as</w:t>
      </w:r>
      <w:proofErr w:type="gramEnd"/>
      <w:r w:rsidRPr="00701747">
        <w:rPr>
          <w:rFonts w:ascii="Arial" w:eastAsia="Times New Roman" w:hAnsi="Arial" w:cs="Arial"/>
          <w:color w:val="000000"/>
          <w:bdr w:val="none" w:sz="0" w:space="0" w:color="auto" w:frame="1"/>
        </w:rPr>
        <w:t xml:space="preserve"> the </w:t>
      </w:r>
      <w:r w:rsidRPr="00701747">
        <w:rPr>
          <w:rFonts w:ascii="Arial" w:eastAsia="Times New Roman" w:hAnsi="Arial" w:cs="Arial"/>
          <w:color w:val="000000"/>
          <w:bdr w:val="none" w:sz="0" w:space="0" w:color="auto" w:frame="1"/>
        </w:rPr>
        <w:lastRenderedPageBreak/>
        <w:t xml:space="preserve">services are not offered to patients, for example, laboratory tests and disposable items. </w:t>
      </w:r>
      <w:proofErr w:type="gramStart"/>
      <w:r w:rsidRPr="00701747">
        <w:rPr>
          <w:rFonts w:ascii="Arial" w:eastAsia="Times New Roman" w:hAnsi="Arial" w:cs="Arial"/>
          <w:color w:val="000000"/>
          <w:bdr w:val="none" w:sz="0" w:space="0" w:color="auto" w:frame="1"/>
        </w:rPr>
        <w:t>But,</w:t>
      </w:r>
      <w:proofErr w:type="gramEnd"/>
      <w:r w:rsidRPr="00701747">
        <w:rPr>
          <w:rFonts w:ascii="Arial" w:eastAsia="Times New Roman" w:hAnsi="Arial" w:cs="Arial"/>
          <w:color w:val="000000"/>
          <w:bdr w:val="none" w:sz="0" w:space="0" w:color="auto" w:frame="1"/>
        </w:rPr>
        <w:t xml:space="preserve"> there are fixed costs, which are those that cover the essential operation of hospitals and are generally covered by citizens' payments (Apostle, 2017).</w:t>
      </w:r>
    </w:p>
    <w:p w14:paraId="57EF0CD5"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 xml:space="preserve">Other factors are technology, and the availability of specialized medicines, which are mainly manipulated by nursing professionals, causing costs to increase if they are misused and the cost decreases if these factors are put to good use. From another perspective, technology in the health sector is usually a non-negotiable need, because it facilitates diagnosis and interventions, so they reduce </w:t>
      </w:r>
      <w:proofErr w:type="gramStart"/>
      <w:r w:rsidRPr="00701747">
        <w:rPr>
          <w:rFonts w:ascii="Arial" w:eastAsia="Times New Roman" w:hAnsi="Arial" w:cs="Arial"/>
          <w:color w:val="000000"/>
          <w:bdr w:val="none" w:sz="0" w:space="0" w:color="auto" w:frame="1"/>
        </w:rPr>
        <w:t>costs(</w:t>
      </w:r>
      <w:proofErr w:type="gramEnd"/>
      <w:r w:rsidRPr="00701747">
        <w:rPr>
          <w:rFonts w:ascii="Arial" w:eastAsia="Times New Roman" w:hAnsi="Arial" w:cs="Arial"/>
          <w:color w:val="000000"/>
          <w:bdr w:val="none" w:sz="0" w:space="0" w:color="auto" w:frame="1"/>
        </w:rPr>
        <w:t>Apostle, 2017).</w:t>
      </w:r>
    </w:p>
    <w:p w14:paraId="08CC2185" w14:textId="77777777" w:rsidR="00701747" w:rsidRPr="00701747" w:rsidRDefault="00701747" w:rsidP="00701747">
      <w:pPr>
        <w:shd w:val="clear" w:color="auto" w:fill="E6E6E6"/>
        <w:spacing w:line="468" w:lineRule="atLeast"/>
        <w:ind w:left="0" w:firstLine="720"/>
        <w:rPr>
          <w:rFonts w:ascii="Georgia" w:eastAsia="Times New Roman" w:hAnsi="Georgia"/>
          <w:color w:val="111111"/>
          <w:sz w:val="23"/>
          <w:szCs w:val="23"/>
        </w:rPr>
      </w:pPr>
      <w:r w:rsidRPr="00701747">
        <w:rPr>
          <w:rFonts w:ascii="Arial" w:eastAsia="Times New Roman" w:hAnsi="Arial" w:cs="Arial"/>
          <w:color w:val="111111"/>
          <w:bdr w:val="none" w:sz="0" w:space="0" w:color="auto" w:frame="1"/>
        </w:rPr>
        <w:t>Finally, quality is an essential factor, since the higher the quality of the services, the greater the indicators of recurrence are the hospitals and fewer resources are destined for a single patient (Apostle, 2017).</w:t>
      </w:r>
    </w:p>
    <w:p w14:paraId="1A2EB280" w14:textId="77777777" w:rsidR="00701747" w:rsidRPr="00701747" w:rsidRDefault="00701747" w:rsidP="00701747">
      <w:pPr>
        <w:shd w:val="clear" w:color="auto" w:fill="E6E6E6"/>
        <w:spacing w:line="468" w:lineRule="atLeast"/>
        <w:ind w:left="0" w:firstLine="720"/>
        <w:jc w:val="center"/>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References</w:t>
      </w:r>
    </w:p>
    <w:p w14:paraId="0C82A169" w14:textId="77777777" w:rsidR="00701747" w:rsidRPr="00701747" w:rsidRDefault="00701747" w:rsidP="00701747">
      <w:pPr>
        <w:shd w:val="clear" w:color="auto" w:fill="FFFFFF"/>
        <w:spacing w:line="468" w:lineRule="atLeast"/>
        <w:ind w:left="0" w:hanging="33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 xml:space="preserve">Apostle, D. (2017). Factors That Influence the </w:t>
      </w:r>
      <w:proofErr w:type="spellStart"/>
      <w:r w:rsidRPr="00701747">
        <w:rPr>
          <w:rFonts w:ascii="Arial" w:eastAsia="Times New Roman" w:hAnsi="Arial" w:cs="Arial"/>
          <w:color w:val="000000"/>
          <w:bdr w:val="none" w:sz="0" w:space="0" w:color="auto" w:frame="1"/>
        </w:rPr>
        <w:t>Publics</w:t>
      </w:r>
      <w:proofErr w:type="spellEnd"/>
      <w:r w:rsidRPr="00701747">
        <w:rPr>
          <w:rFonts w:ascii="Arial" w:eastAsia="Times New Roman" w:hAnsi="Arial" w:cs="Arial"/>
          <w:color w:val="000000"/>
          <w:bdr w:val="none" w:sz="0" w:space="0" w:color="auto" w:frame="1"/>
        </w:rPr>
        <w:t xml:space="preserve"> View of Medical Care. </w:t>
      </w:r>
      <w:r w:rsidRPr="00701747">
        <w:rPr>
          <w:rFonts w:ascii="Arial" w:eastAsia="Times New Roman" w:hAnsi="Arial" w:cs="Arial"/>
          <w:i/>
          <w:iCs/>
          <w:color w:val="000000"/>
          <w:bdr w:val="none" w:sz="0" w:space="0" w:color="auto" w:frame="1"/>
        </w:rPr>
        <w:t>The Journal of the American Medical Association,202</w:t>
      </w:r>
      <w:r w:rsidRPr="00701747">
        <w:rPr>
          <w:rFonts w:ascii="Arial" w:eastAsia="Times New Roman" w:hAnsi="Arial" w:cs="Arial"/>
          <w:color w:val="000000"/>
          <w:bdr w:val="none" w:sz="0" w:space="0" w:color="auto" w:frame="1"/>
        </w:rPr>
        <w:t>(7), 592. doi:10.1001/jama.1967.03130200078013</w:t>
      </w:r>
    </w:p>
    <w:p w14:paraId="0A76E282" w14:textId="77777777" w:rsidR="00701747" w:rsidRPr="00701747" w:rsidRDefault="00701747" w:rsidP="00701747">
      <w:pPr>
        <w:shd w:val="clear" w:color="auto" w:fill="FFFFFF"/>
        <w:spacing w:line="468" w:lineRule="atLeast"/>
        <w:ind w:left="0" w:hanging="33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Fisher, R. C. (2018). State and Local Public Health. doi:10.4324/9781315718729</w:t>
      </w:r>
    </w:p>
    <w:p w14:paraId="0DDC52E5" w14:textId="77777777" w:rsidR="00701747" w:rsidRPr="00701747" w:rsidRDefault="00701747" w:rsidP="00701747">
      <w:pPr>
        <w:shd w:val="clear" w:color="auto" w:fill="FFFFFF"/>
        <w:spacing w:line="468" w:lineRule="atLeast"/>
        <w:ind w:left="0" w:hanging="330"/>
        <w:rPr>
          <w:rFonts w:ascii="Georgia" w:eastAsia="Times New Roman" w:hAnsi="Georgia"/>
          <w:color w:val="111111"/>
          <w:sz w:val="23"/>
          <w:szCs w:val="23"/>
        </w:rPr>
      </w:pPr>
      <w:r w:rsidRPr="00701747">
        <w:rPr>
          <w:rFonts w:ascii="Arial" w:eastAsia="Times New Roman" w:hAnsi="Arial" w:cs="Arial"/>
          <w:color w:val="000000"/>
          <w:bdr w:val="none" w:sz="0" w:space="0" w:color="auto" w:frame="1"/>
        </w:rPr>
        <w:t>Goswami. (2015). Transforming government: People, process, and policy. </w:t>
      </w:r>
      <w:r w:rsidRPr="00701747">
        <w:rPr>
          <w:rFonts w:ascii="Arial" w:eastAsia="Times New Roman" w:hAnsi="Arial" w:cs="Arial"/>
          <w:i/>
          <w:iCs/>
          <w:color w:val="000000"/>
          <w:bdr w:val="none" w:sz="0" w:space="0" w:color="auto" w:frame="1"/>
        </w:rPr>
        <w:t>Transforming Government: People, Process and Policy,7</w:t>
      </w:r>
      <w:r w:rsidRPr="00701747">
        <w:rPr>
          <w:rFonts w:ascii="Arial" w:eastAsia="Times New Roman" w:hAnsi="Arial" w:cs="Arial"/>
          <w:color w:val="000000"/>
          <w:bdr w:val="none" w:sz="0" w:space="0" w:color="auto" w:frame="1"/>
        </w:rPr>
        <w:t>(4). doi:10.1108/tg-08-2013-0026</w:t>
      </w:r>
    </w:p>
    <w:p w14:paraId="5864E179" w14:textId="77777777" w:rsidR="00701747" w:rsidRPr="00701747" w:rsidRDefault="00701747" w:rsidP="00701747">
      <w:pPr>
        <w:shd w:val="clear" w:color="auto" w:fill="FFFFFF"/>
        <w:spacing w:line="468" w:lineRule="atLeast"/>
        <w:ind w:left="0" w:hanging="330"/>
        <w:rPr>
          <w:rFonts w:ascii="Georgia" w:eastAsia="Times New Roman" w:hAnsi="Georgia"/>
          <w:color w:val="111111"/>
          <w:sz w:val="23"/>
          <w:szCs w:val="23"/>
        </w:rPr>
      </w:pPr>
      <w:proofErr w:type="spellStart"/>
      <w:r w:rsidRPr="00701747">
        <w:rPr>
          <w:rFonts w:ascii="Arial" w:eastAsia="Times New Roman" w:hAnsi="Arial" w:cs="Arial"/>
          <w:color w:val="000000"/>
          <w:bdr w:val="none" w:sz="0" w:space="0" w:color="auto" w:frame="1"/>
        </w:rPr>
        <w:t>Hedal</w:t>
      </w:r>
      <w:proofErr w:type="spellEnd"/>
      <w:r w:rsidRPr="00701747">
        <w:rPr>
          <w:rFonts w:ascii="Arial" w:eastAsia="Times New Roman" w:hAnsi="Arial" w:cs="Arial"/>
          <w:color w:val="000000"/>
          <w:bdr w:val="none" w:sz="0" w:space="0" w:color="auto" w:frame="1"/>
        </w:rPr>
        <w:t>. (2018). Establishing LCA in the Healthcare Sector. </w:t>
      </w:r>
      <w:r w:rsidRPr="00701747">
        <w:rPr>
          <w:rFonts w:ascii="Arial" w:eastAsia="Times New Roman" w:hAnsi="Arial" w:cs="Arial"/>
          <w:i/>
          <w:iCs/>
          <w:color w:val="000000"/>
          <w:bdr w:val="none" w:sz="0" w:space="0" w:color="auto" w:frame="1"/>
        </w:rPr>
        <w:t>Designing Sustainable Technologies, Products and Policies,</w:t>
      </w:r>
      <w:r w:rsidRPr="00701747">
        <w:rPr>
          <w:rFonts w:ascii="Arial" w:eastAsia="Times New Roman" w:hAnsi="Arial" w:cs="Arial"/>
          <w:color w:val="000000"/>
          <w:bdr w:val="none" w:sz="0" w:space="0" w:color="auto" w:frame="1"/>
        </w:rPr>
        <w:t>89-94. doi:10.1007/978-3-319-66981-6_10</w:t>
      </w:r>
    </w:p>
    <w:p w14:paraId="312AC755" w14:textId="77777777" w:rsidR="0041068F" w:rsidRDefault="00701747"/>
    <w:sectPr w:rsidR="00410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81C56"/>
    <w:multiLevelType w:val="multilevel"/>
    <w:tmpl w:val="9DE4C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0D128E"/>
    <w:multiLevelType w:val="multilevel"/>
    <w:tmpl w:val="FDE2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C91C49"/>
    <w:multiLevelType w:val="multilevel"/>
    <w:tmpl w:val="C65EA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953E74"/>
    <w:multiLevelType w:val="multilevel"/>
    <w:tmpl w:val="67A21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47"/>
    <w:rsid w:val="00036FCA"/>
    <w:rsid w:val="00275F21"/>
    <w:rsid w:val="00351AAC"/>
    <w:rsid w:val="004171F0"/>
    <w:rsid w:val="00597BB9"/>
    <w:rsid w:val="00701747"/>
    <w:rsid w:val="00775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002E"/>
  <w15:chartTrackingRefBased/>
  <w15:docId w15:val="{F2898E9E-AC55-485F-B1A3-A89F55DE9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ind w:left="72" w:hanging="36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1747"/>
    <w:pPr>
      <w:spacing w:before="100" w:beforeAutospacing="1" w:after="100" w:afterAutospacing="1"/>
      <w:ind w:left="0"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71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Dilsy Ricardo</dc:creator>
  <cp:keywords/>
  <dc:description/>
  <cp:lastModifiedBy>Dilsy Ricardo</cp:lastModifiedBy>
  <cp:revision>1</cp:revision>
  <dcterms:created xsi:type="dcterms:W3CDTF">2019-09-17T18:04:00Z</dcterms:created>
  <dcterms:modified xsi:type="dcterms:W3CDTF">2019-09-17T18:05:00Z</dcterms:modified>
</cp:coreProperties>
</file>