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6BD" w:rsidRPr="00AB06BD" w:rsidRDefault="00AB06BD" w:rsidP="00DE7B34">
      <w:pPr>
        <w:spacing w:before="225" w:after="0" w:line="240" w:lineRule="auto"/>
        <w:rPr>
          <w:rFonts w:ascii="Trebuchet MS" w:eastAsia="Times New Roman" w:hAnsi="Trebuchet MS" w:cs="Times New Roman"/>
          <w:b/>
          <w:color w:val="000000"/>
          <w:sz w:val="18"/>
          <w:szCs w:val="18"/>
        </w:rPr>
      </w:pPr>
      <w:r w:rsidRPr="00AB06BD">
        <w:rPr>
          <w:rFonts w:ascii="Trebuchet MS" w:eastAsia="Times New Roman" w:hAnsi="Trebuchet MS" w:cs="Times New Roman"/>
          <w:b/>
          <w:color w:val="000000"/>
          <w:sz w:val="18"/>
          <w:szCs w:val="18"/>
        </w:rPr>
        <w:t xml:space="preserve">Investigating Judaism Training Brochure </w:t>
      </w:r>
      <w:bookmarkStart w:id="0" w:name="_GoBack"/>
      <w:bookmarkEnd w:id="0"/>
    </w:p>
    <w:p w:rsidR="00DE7B34" w:rsidRPr="00DE7B34" w:rsidRDefault="00DE7B34" w:rsidP="00DE7B34">
      <w:pPr>
        <w:spacing w:before="225" w:after="0" w:line="240" w:lineRule="auto"/>
        <w:rPr>
          <w:rFonts w:ascii="Trebuchet MS" w:eastAsia="Times New Roman" w:hAnsi="Trebuchet MS" w:cs="Times New Roman"/>
          <w:color w:val="000000"/>
          <w:sz w:val="18"/>
          <w:szCs w:val="18"/>
        </w:rPr>
      </w:pPr>
      <w:r w:rsidRPr="00DE7B34">
        <w:rPr>
          <w:rFonts w:ascii="Trebuchet MS" w:eastAsia="Times New Roman" w:hAnsi="Trebuchet MS" w:cs="Times New Roman"/>
          <w:color w:val="000000"/>
          <w:sz w:val="18"/>
          <w:szCs w:val="18"/>
        </w:rPr>
        <w:t>If possible, interview a practicing Jewish individual or a rabbi, which can be used as an academic resource. If you would like to take pictures during your visit to this community or place of worship, be sure to obtain permission.</w:t>
      </w:r>
    </w:p>
    <w:p w:rsidR="00DE7B34" w:rsidRPr="00DE7B34" w:rsidRDefault="00DE7B34" w:rsidP="00DE7B34">
      <w:pPr>
        <w:spacing w:before="225" w:after="0" w:line="240" w:lineRule="auto"/>
        <w:rPr>
          <w:rFonts w:ascii="Trebuchet MS" w:eastAsia="Times New Roman" w:hAnsi="Trebuchet MS" w:cs="Times New Roman"/>
          <w:color w:val="000000"/>
          <w:sz w:val="18"/>
          <w:szCs w:val="18"/>
        </w:rPr>
      </w:pPr>
      <w:r w:rsidRPr="00DE7B34">
        <w:rPr>
          <w:rFonts w:ascii="Trebuchet MS" w:eastAsia="Times New Roman" w:hAnsi="Trebuchet MS" w:cs="Times New Roman"/>
          <w:color w:val="000000"/>
          <w:sz w:val="18"/>
          <w:szCs w:val="18"/>
        </w:rPr>
        <w:t>For this assignment, your role will be as a trainer for Christian colleagues to prepare them for a meeting with members of a Jewish community. You will choose whether they are Orthodox, Conservative, or Reformed. Create a training brochure for your colleagues that can be used as a valuable tool to prepare and inform them for the meeting.</w:t>
      </w:r>
    </w:p>
    <w:p w:rsidR="00DE7B34" w:rsidRPr="00DE7B34" w:rsidRDefault="00DE7B34" w:rsidP="00DE7B34">
      <w:pPr>
        <w:spacing w:before="225" w:after="0" w:line="240" w:lineRule="auto"/>
        <w:rPr>
          <w:rFonts w:ascii="Trebuchet MS" w:eastAsia="Times New Roman" w:hAnsi="Trebuchet MS" w:cs="Times New Roman"/>
          <w:color w:val="000000"/>
          <w:sz w:val="18"/>
          <w:szCs w:val="18"/>
        </w:rPr>
      </w:pPr>
      <w:r w:rsidRPr="00DE7B34">
        <w:rPr>
          <w:rFonts w:ascii="Trebuchet MS" w:eastAsia="Times New Roman" w:hAnsi="Trebuchet MS" w:cs="Times New Roman"/>
          <w:color w:val="000000"/>
          <w:sz w:val="18"/>
          <w:szCs w:val="18"/>
        </w:rPr>
        <w:t>Your training brochure will be comprised of six panels that include the elements listed below. Be sure to include specific examples in points 1-5:</w:t>
      </w:r>
    </w:p>
    <w:p w:rsidR="00DE7B34" w:rsidRPr="00DE7B34" w:rsidRDefault="00DE7B34" w:rsidP="00DE7B34">
      <w:pPr>
        <w:numPr>
          <w:ilvl w:val="0"/>
          <w:numId w:val="2"/>
        </w:numPr>
        <w:spacing w:after="150" w:line="240" w:lineRule="auto"/>
        <w:ind w:left="375"/>
        <w:rPr>
          <w:rFonts w:ascii="Trebuchet MS" w:eastAsia="Times New Roman" w:hAnsi="Trebuchet MS" w:cs="Times New Roman"/>
          <w:color w:val="000000"/>
          <w:sz w:val="18"/>
          <w:szCs w:val="18"/>
        </w:rPr>
      </w:pPr>
      <w:r w:rsidRPr="00DE7B34">
        <w:rPr>
          <w:rFonts w:ascii="Trebuchet MS" w:eastAsia="Times New Roman" w:hAnsi="Trebuchet MS" w:cs="Times New Roman"/>
          <w:color w:val="000000"/>
          <w:sz w:val="18"/>
          <w:szCs w:val="18"/>
        </w:rPr>
        <w:t>What are the primary beliefs of the Jewish community you have chosen?</w:t>
      </w:r>
    </w:p>
    <w:p w:rsidR="00DE7B34" w:rsidRPr="00DE7B34" w:rsidRDefault="00DE7B34" w:rsidP="00DE7B34">
      <w:pPr>
        <w:numPr>
          <w:ilvl w:val="0"/>
          <w:numId w:val="2"/>
        </w:numPr>
        <w:spacing w:after="150" w:line="240" w:lineRule="auto"/>
        <w:ind w:left="375"/>
        <w:rPr>
          <w:rFonts w:ascii="Trebuchet MS" w:eastAsia="Times New Roman" w:hAnsi="Trebuchet MS" w:cs="Times New Roman"/>
          <w:color w:val="000000"/>
          <w:sz w:val="18"/>
          <w:szCs w:val="18"/>
        </w:rPr>
      </w:pPr>
      <w:r w:rsidRPr="00DE7B34">
        <w:rPr>
          <w:rFonts w:ascii="Trebuchet MS" w:eastAsia="Times New Roman" w:hAnsi="Trebuchet MS" w:cs="Times New Roman"/>
          <w:color w:val="000000"/>
          <w:sz w:val="18"/>
          <w:szCs w:val="18"/>
        </w:rPr>
        <w:t>What are some misunderstandings that Jews have about Christians?</w:t>
      </w:r>
    </w:p>
    <w:p w:rsidR="00DE7B34" w:rsidRPr="00DE7B34" w:rsidRDefault="00DE7B34" w:rsidP="00DE7B34">
      <w:pPr>
        <w:numPr>
          <w:ilvl w:val="0"/>
          <w:numId w:val="2"/>
        </w:numPr>
        <w:spacing w:after="150" w:line="240" w:lineRule="auto"/>
        <w:ind w:left="375"/>
        <w:rPr>
          <w:rFonts w:ascii="Trebuchet MS" w:eastAsia="Times New Roman" w:hAnsi="Trebuchet MS" w:cs="Times New Roman"/>
          <w:color w:val="000000"/>
          <w:sz w:val="18"/>
          <w:szCs w:val="18"/>
        </w:rPr>
      </w:pPr>
      <w:r w:rsidRPr="00DE7B34">
        <w:rPr>
          <w:rFonts w:ascii="Trebuchet MS" w:eastAsia="Times New Roman" w:hAnsi="Trebuchet MS" w:cs="Times New Roman"/>
          <w:color w:val="000000"/>
          <w:sz w:val="18"/>
          <w:szCs w:val="18"/>
        </w:rPr>
        <w:t>What are some misunderstandings Christians have about Jews?</w:t>
      </w:r>
    </w:p>
    <w:p w:rsidR="00DE7B34" w:rsidRPr="00DE7B34" w:rsidRDefault="00DE7B34" w:rsidP="00DE7B34">
      <w:pPr>
        <w:numPr>
          <w:ilvl w:val="0"/>
          <w:numId w:val="2"/>
        </w:numPr>
        <w:spacing w:after="150" w:line="240" w:lineRule="auto"/>
        <w:ind w:left="375"/>
        <w:rPr>
          <w:rFonts w:ascii="Trebuchet MS" w:eastAsia="Times New Roman" w:hAnsi="Trebuchet MS" w:cs="Times New Roman"/>
          <w:color w:val="000000"/>
          <w:sz w:val="18"/>
          <w:szCs w:val="18"/>
        </w:rPr>
      </w:pPr>
      <w:r w:rsidRPr="00DE7B34">
        <w:rPr>
          <w:rFonts w:ascii="Trebuchet MS" w:eastAsia="Times New Roman" w:hAnsi="Trebuchet MS" w:cs="Times New Roman"/>
          <w:color w:val="000000"/>
          <w:sz w:val="18"/>
          <w:szCs w:val="18"/>
        </w:rPr>
        <w:t>How can a study of Judaism help to overcome those misunderstandings?</w:t>
      </w:r>
    </w:p>
    <w:p w:rsidR="00DE7B34" w:rsidRPr="00DE7B34" w:rsidRDefault="00DE7B34" w:rsidP="00DE7B34">
      <w:pPr>
        <w:numPr>
          <w:ilvl w:val="0"/>
          <w:numId w:val="2"/>
        </w:numPr>
        <w:spacing w:after="150" w:line="240" w:lineRule="auto"/>
        <w:ind w:left="375"/>
        <w:rPr>
          <w:rFonts w:ascii="Trebuchet MS" w:eastAsia="Times New Roman" w:hAnsi="Trebuchet MS" w:cs="Times New Roman"/>
          <w:color w:val="000000"/>
          <w:sz w:val="18"/>
          <w:szCs w:val="18"/>
        </w:rPr>
      </w:pPr>
      <w:r w:rsidRPr="00DE7B34">
        <w:rPr>
          <w:rFonts w:ascii="Trebuchet MS" w:eastAsia="Times New Roman" w:hAnsi="Trebuchet MS" w:cs="Times New Roman"/>
          <w:color w:val="000000"/>
          <w:sz w:val="18"/>
          <w:szCs w:val="18"/>
        </w:rPr>
        <w:t>Reflect on several ways in which the contemporary nation state of Israel may be viewed by various Christian communities. Be sure to use relevant resources to support your claims.</w:t>
      </w:r>
    </w:p>
    <w:p w:rsidR="00DE7B34" w:rsidRPr="00DE7B34" w:rsidRDefault="00DE7B34" w:rsidP="00DE7B34">
      <w:pPr>
        <w:numPr>
          <w:ilvl w:val="0"/>
          <w:numId w:val="2"/>
        </w:numPr>
        <w:spacing w:after="150" w:line="240" w:lineRule="auto"/>
        <w:ind w:left="375"/>
        <w:rPr>
          <w:rFonts w:ascii="Trebuchet MS" w:eastAsia="Times New Roman" w:hAnsi="Trebuchet MS" w:cs="Times New Roman"/>
          <w:color w:val="000000"/>
          <w:sz w:val="18"/>
          <w:szCs w:val="18"/>
        </w:rPr>
      </w:pPr>
      <w:r w:rsidRPr="00DE7B34">
        <w:rPr>
          <w:rFonts w:ascii="Trebuchet MS" w:eastAsia="Times New Roman" w:hAnsi="Trebuchet MS" w:cs="Times New Roman"/>
          <w:color w:val="000000"/>
          <w:sz w:val="18"/>
          <w:szCs w:val="18"/>
        </w:rPr>
        <w:t>List the resources used.</w:t>
      </w:r>
    </w:p>
    <w:p w:rsidR="00DE7B34" w:rsidRPr="00DE7B34" w:rsidRDefault="00DE7B34" w:rsidP="00DE7B34">
      <w:pPr>
        <w:spacing w:before="225" w:after="0" w:line="240" w:lineRule="auto"/>
        <w:rPr>
          <w:rFonts w:ascii="Trebuchet MS" w:eastAsia="Times New Roman" w:hAnsi="Trebuchet MS" w:cs="Times New Roman"/>
          <w:color w:val="000000"/>
          <w:sz w:val="18"/>
          <w:szCs w:val="18"/>
        </w:rPr>
      </w:pPr>
      <w:r w:rsidRPr="00DE7B34">
        <w:rPr>
          <w:rFonts w:ascii="Trebuchet MS" w:eastAsia="Times New Roman" w:hAnsi="Trebuchet MS" w:cs="Times New Roman"/>
          <w:color w:val="000000"/>
          <w:sz w:val="18"/>
          <w:szCs w:val="18"/>
        </w:rPr>
        <w:t>Utilize the course textbook and a minimum of three academic resources, one of which can be your interview and should include topic materials and external resources. Be sure to list these resources on the last page of the brochure.</w:t>
      </w:r>
    </w:p>
    <w:p w:rsidR="00DE7B34" w:rsidRPr="00DE7B34" w:rsidRDefault="00DE7B34" w:rsidP="00DE7B34">
      <w:pPr>
        <w:spacing w:before="225" w:after="0" w:line="240" w:lineRule="auto"/>
        <w:rPr>
          <w:rFonts w:ascii="Trebuchet MS" w:eastAsia="Times New Roman" w:hAnsi="Trebuchet MS" w:cs="Times New Roman"/>
          <w:color w:val="000000"/>
          <w:sz w:val="18"/>
          <w:szCs w:val="18"/>
        </w:rPr>
      </w:pPr>
      <w:r w:rsidRPr="00DE7B34">
        <w:rPr>
          <w:rFonts w:ascii="Trebuchet MS" w:eastAsia="Times New Roman" w:hAnsi="Trebuchet MS" w:cs="Times New Roman"/>
          <w:color w:val="000000"/>
          <w:sz w:val="18"/>
          <w:szCs w:val="18"/>
        </w:rPr>
        <w:t>GCU style is not required, but solid academic writing is expected.</w:t>
      </w:r>
    </w:p>
    <w:p w:rsidR="00B97CD8" w:rsidRDefault="00B97CD8" w:rsidP="00B97CD8"/>
    <w:p w:rsidR="00DE7B34" w:rsidRDefault="00DE7B34" w:rsidP="00B97CD8">
      <w:r>
        <w:t xml:space="preserve">Different readings from this week that should be used as references for brochure </w:t>
      </w:r>
    </w:p>
    <w:p w:rsidR="00DE7B34" w:rsidRDefault="00DE7B34" w:rsidP="00B97CD8">
      <w:hyperlink r:id="rId5" w:history="1">
        <w:r>
          <w:rPr>
            <w:rStyle w:val="Hyperlink"/>
          </w:rPr>
          <w:t>https://fod-infobase-com.lopes.idm.oclc.org/p_ViewVideo.aspx?xtid=11958</w:t>
        </w:r>
      </w:hyperlink>
    </w:p>
    <w:p w:rsidR="00DE7B34" w:rsidRDefault="00DE7B34" w:rsidP="00B97CD8">
      <w:hyperlink r:id="rId6" w:history="1">
        <w:r>
          <w:rPr>
            <w:rStyle w:val="Hyperlink"/>
          </w:rPr>
          <w:t>https://lopes.idm.oclc.org/login?url=http://fod.infobase.com/PortalPlaylists.aspx?wID=96349&amp;xtid=39046</w:t>
        </w:r>
      </w:hyperlink>
    </w:p>
    <w:p w:rsidR="00DE7B34" w:rsidRDefault="00DE7B34" w:rsidP="00B97CD8">
      <w:hyperlink r:id="rId7" w:history="1">
        <w:r>
          <w:rPr>
            <w:rStyle w:val="Hyperlink"/>
          </w:rPr>
          <w:t>https://www.bbc.com/news/world-middle-east-10688920</w:t>
        </w:r>
      </w:hyperlink>
    </w:p>
    <w:p w:rsidR="00DE7B34" w:rsidRDefault="00DE7B34" w:rsidP="00B97CD8">
      <w:hyperlink r:id="rId8" w:history="1">
        <w:r>
          <w:rPr>
            <w:rStyle w:val="Hyperlink"/>
          </w:rPr>
          <w:t>http://www.shj.org/humanistic-jewish-life/issues-and-resolutions/who-is/</w:t>
        </w:r>
      </w:hyperlink>
    </w:p>
    <w:p w:rsidR="00DE7B34" w:rsidRDefault="00DE7B34" w:rsidP="00B97CD8">
      <w:pPr>
        <w:rPr>
          <w:b/>
          <w:u w:val="single"/>
        </w:rPr>
      </w:pPr>
    </w:p>
    <w:p w:rsidR="00DE7B34" w:rsidRDefault="00DE7B34" w:rsidP="00B97CD8">
      <w:pPr>
        <w:rPr>
          <w:b/>
          <w:u w:val="single"/>
        </w:rPr>
      </w:pPr>
      <w:r w:rsidRPr="00DE7B34">
        <w:rPr>
          <w:b/>
          <w:u w:val="single"/>
        </w:rPr>
        <w:t>Textbook link</w:t>
      </w:r>
    </w:p>
    <w:p w:rsidR="00DE7B34" w:rsidRDefault="00DE7B34" w:rsidP="00B97CD8">
      <w:hyperlink r:id="rId9" w:history="1">
        <w:r>
          <w:rPr>
            <w:rStyle w:val="Hyperlink"/>
          </w:rPr>
          <w:t>https://viewer.gcu.edu/EMXAKN</w:t>
        </w:r>
      </w:hyperlink>
    </w:p>
    <w:p w:rsidR="00DE7B34" w:rsidRDefault="00DE7B34" w:rsidP="00B97CD8">
      <w:r>
        <w:t xml:space="preserve">Chapters 2 &amp; 6 </w:t>
      </w:r>
    </w:p>
    <w:p w:rsidR="00DE7B34" w:rsidRDefault="00DE7B34" w:rsidP="00B97CD8">
      <w:r>
        <w:t xml:space="preserve">If it ask for log in info below are my credentials </w:t>
      </w:r>
    </w:p>
    <w:p w:rsidR="00DE7B34" w:rsidRDefault="00DE7B34" w:rsidP="00B97CD8">
      <w:r>
        <w:t>Username: Kmckenzie4</w:t>
      </w:r>
    </w:p>
    <w:p w:rsidR="00DE7B34" w:rsidRDefault="00DE7B34" w:rsidP="00B97CD8">
      <w:r>
        <w:t>PW: Ashtonjm@13</w:t>
      </w:r>
    </w:p>
    <w:p w:rsidR="00DE7B34" w:rsidRPr="00DE7B34" w:rsidRDefault="00DE7B34" w:rsidP="00B97CD8">
      <w:pPr>
        <w:rPr>
          <w:b/>
          <w:u w:val="single"/>
        </w:rPr>
      </w:pPr>
      <w:r>
        <w:t>Lecture notes are also below that can be used as a reference</w:t>
      </w:r>
    </w:p>
    <w:p w:rsidR="00DE7B34" w:rsidRDefault="00DE7B34" w:rsidP="00B97CD8"/>
    <w:p w:rsidR="00DE7B34" w:rsidRDefault="00DE7B34" w:rsidP="00DE7B34">
      <w:pPr>
        <w:pStyle w:val="gculcdocumenttitle"/>
        <w:spacing w:before="120" w:beforeAutospacing="0" w:after="120" w:afterAutospacing="0"/>
        <w:jc w:val="center"/>
        <w:rPr>
          <w:rFonts w:ascii="Calibri" w:hAnsi="Calibri" w:cs="Calibri"/>
          <w:color w:val="000000"/>
          <w:sz w:val="48"/>
          <w:szCs w:val="48"/>
        </w:rPr>
      </w:pPr>
      <w:r>
        <w:rPr>
          <w:rFonts w:ascii="Calibri" w:hAnsi="Calibri" w:cs="Calibri"/>
          <w:color w:val="000000"/>
          <w:sz w:val="48"/>
          <w:szCs w:val="48"/>
        </w:rPr>
        <w:t>INT-244 Lecture 2</w:t>
      </w:r>
    </w:p>
    <w:p w:rsidR="00DE7B34" w:rsidRDefault="00DE7B34" w:rsidP="00DE7B34">
      <w:pPr>
        <w:pStyle w:val="gculctopicheading"/>
        <w:spacing w:before="200" w:beforeAutospacing="0" w:after="0" w:afterAutospacing="0" w:line="368" w:lineRule="atLeast"/>
        <w:rPr>
          <w:rFonts w:ascii="Calibri" w:hAnsi="Calibri" w:cs="Calibri"/>
          <w:color w:val="000000"/>
          <w:sz w:val="32"/>
          <w:szCs w:val="32"/>
        </w:rPr>
      </w:pPr>
      <w:r>
        <w:rPr>
          <w:rFonts w:ascii="Calibri" w:hAnsi="Calibri" w:cs="Calibri"/>
          <w:color w:val="000000"/>
          <w:sz w:val="32"/>
          <w:szCs w:val="32"/>
        </w:rPr>
        <w:t>Judaism</w:t>
      </w:r>
    </w:p>
    <w:p w:rsidR="00DE7B34" w:rsidRDefault="00DE7B34" w:rsidP="00DE7B34">
      <w:pPr>
        <w:pStyle w:val="gculcsubtopicheading"/>
        <w:spacing w:before="60" w:beforeAutospacing="0" w:after="120" w:afterAutospacing="0" w:line="299" w:lineRule="atLeast"/>
        <w:rPr>
          <w:rFonts w:ascii="Calibri" w:hAnsi="Calibri" w:cs="Calibri"/>
          <w:i/>
          <w:iCs/>
          <w:color w:val="000000"/>
          <w:sz w:val="26"/>
          <w:szCs w:val="26"/>
        </w:rPr>
      </w:pPr>
      <w:r>
        <w:rPr>
          <w:rFonts w:ascii="Calibri" w:hAnsi="Calibri" w:cs="Calibri"/>
          <w:i/>
          <w:iCs/>
          <w:color w:val="000000"/>
          <w:sz w:val="26"/>
          <w:szCs w:val="26"/>
        </w:rPr>
        <w:t>Introduction</w:t>
      </w:r>
    </w:p>
    <w:p w:rsidR="00DE7B34" w:rsidRDefault="00DE7B34" w:rsidP="00DE7B34">
      <w:pPr>
        <w:pStyle w:val="gculcbodytext"/>
        <w:spacing w:before="60" w:beforeAutospacing="0" w:after="120" w:afterAutospacing="0" w:line="276" w:lineRule="atLeast"/>
        <w:rPr>
          <w:rFonts w:ascii="Calibri" w:hAnsi="Calibri" w:cs="Calibri"/>
          <w:color w:val="000000"/>
        </w:rPr>
      </w:pPr>
      <w:r>
        <w:rPr>
          <w:rFonts w:ascii="Calibri" w:hAnsi="Calibri" w:cs="Calibri"/>
          <w:color w:val="000000"/>
        </w:rPr>
        <w:t>Noted scholar of religion Huston Smith (2001) once remarked on a particular theme within Judaism in this way:</w:t>
      </w:r>
    </w:p>
    <w:p w:rsidR="00DE7B34" w:rsidRDefault="00DE7B34" w:rsidP="00DE7B34">
      <w:pPr>
        <w:pStyle w:val="gculcblockquotation"/>
        <w:spacing w:before="0" w:beforeAutospacing="0" w:after="0" w:afterAutospacing="0" w:line="276" w:lineRule="atLeast"/>
        <w:ind w:left="720"/>
        <w:rPr>
          <w:rFonts w:ascii="Calibri" w:hAnsi="Calibri" w:cs="Calibri"/>
          <w:color w:val="000000"/>
        </w:rPr>
      </w:pPr>
      <w:r>
        <w:rPr>
          <w:rFonts w:ascii="Calibri" w:hAnsi="Calibri" w:cs="Calibri"/>
          <w:color w:val="000000"/>
        </w:rPr>
        <w:t xml:space="preserve">Historians of religion were asking themselves why the passion for justice surfaces more strongly in the Hebrew </w:t>
      </w:r>
      <w:proofErr w:type="gramStart"/>
      <w:r>
        <w:rPr>
          <w:rFonts w:ascii="Calibri" w:hAnsi="Calibri" w:cs="Calibri"/>
          <w:color w:val="000000"/>
        </w:rPr>
        <w:t>scriptures</w:t>
      </w:r>
      <w:proofErr w:type="gramEnd"/>
      <w:r>
        <w:rPr>
          <w:rFonts w:ascii="Calibri" w:hAnsi="Calibri" w:cs="Calibri"/>
          <w:color w:val="000000"/>
        </w:rPr>
        <w:t xml:space="preserve"> than in others, and when someone came up with the answer it seemed obvious to us all. No other sacred text was assembled by a people who had suffered as much </w:t>
      </w:r>
      <w:r>
        <w:rPr>
          <w:rFonts w:ascii="Calibri" w:hAnsi="Calibri" w:cs="Calibri"/>
          <w:i/>
          <w:iCs/>
          <w:color w:val="000000"/>
          <w:bdr w:val="none" w:sz="0" w:space="0" w:color="auto" w:frame="1"/>
        </w:rPr>
        <w:t>injustice</w:t>
      </w:r>
      <w:r>
        <w:rPr>
          <w:rFonts w:ascii="Calibri" w:hAnsi="Calibri" w:cs="Calibri"/>
          <w:color w:val="000000"/>
        </w:rPr>
        <w:t> as the Jews had, and this made them privy from the inside to the pain injustice occasions. (p. 63)</w:t>
      </w:r>
    </w:p>
    <w:p w:rsidR="00DE7B34" w:rsidRDefault="00DE7B34" w:rsidP="00DE7B34">
      <w:pPr>
        <w:pStyle w:val="gculcbodytext"/>
        <w:spacing w:before="0" w:beforeAutospacing="0" w:after="0" w:afterAutospacing="0" w:line="276" w:lineRule="atLeast"/>
        <w:rPr>
          <w:rFonts w:ascii="Calibri" w:hAnsi="Calibri" w:cs="Calibri"/>
          <w:color w:val="000000"/>
        </w:rPr>
      </w:pPr>
      <w:r>
        <w:rPr>
          <w:rFonts w:ascii="Calibri" w:hAnsi="Calibri" w:cs="Calibri"/>
          <w:color w:val="000000"/>
        </w:rPr>
        <w:t>From the Egyptian slavery and Exile events as recounted in the Hebrew Bible to the Holocaust of the 20</w:t>
      </w:r>
      <w:r>
        <w:rPr>
          <w:rFonts w:ascii="Calibri" w:hAnsi="Calibri" w:cs="Calibri"/>
          <w:color w:val="000000"/>
          <w:bdr w:val="none" w:sz="0" w:space="0" w:color="auto" w:frame="1"/>
          <w:vertAlign w:val="superscript"/>
        </w:rPr>
        <w:t>th</w:t>
      </w:r>
      <w:r>
        <w:rPr>
          <w:rFonts w:ascii="Calibri" w:hAnsi="Calibri" w:cs="Calibri"/>
          <w:color w:val="000000"/>
        </w:rPr>
        <w:t> century, Jewish identity has often been defined by wrestling with the meaning of suffering and of God in their experience. While there are of course typical beliefs and practices associated with Judaism, defining who is a Jew is often more a matter of identity and community than one's personal beliefs.</w:t>
      </w:r>
    </w:p>
    <w:p w:rsidR="00DE7B34" w:rsidRDefault="00DE7B34" w:rsidP="00DE7B34">
      <w:pPr>
        <w:pStyle w:val="gculcbodytext"/>
        <w:spacing w:before="0" w:beforeAutospacing="0" w:after="0" w:afterAutospacing="0" w:line="276" w:lineRule="atLeast"/>
        <w:rPr>
          <w:rFonts w:ascii="Calibri" w:hAnsi="Calibri" w:cs="Calibri"/>
          <w:color w:val="000000"/>
        </w:rPr>
      </w:pPr>
      <w:r>
        <w:rPr>
          <w:rFonts w:ascii="Calibri" w:hAnsi="Calibri" w:cs="Calibri"/>
          <w:color w:val="000000"/>
        </w:rPr>
        <w:t>Collectively termed the Abrahamic religions, Judaism, Christianity, and Islam are known as such because they trace their sacred texts and basic monotheistic theology to Abraham and his descendants. Though there are a large number of Jewish groups or sects, contemporary Judaism divides into four major groups. </w:t>
      </w:r>
      <w:r>
        <w:rPr>
          <w:rFonts w:ascii="Calibri" w:hAnsi="Calibri" w:cs="Calibri"/>
          <w:i/>
          <w:iCs/>
          <w:color w:val="000000"/>
          <w:bdr w:val="none" w:sz="0" w:space="0" w:color="auto" w:frame="1"/>
        </w:rPr>
        <w:t>Orthodox Judaism</w:t>
      </w:r>
      <w:r>
        <w:rPr>
          <w:rFonts w:ascii="Calibri" w:hAnsi="Calibri" w:cs="Calibri"/>
          <w:color w:val="000000"/>
        </w:rPr>
        <w:t> asserts that the written Torah (Genesis, Exodus, Numbers, Leviticus, and Deuteronomy) and the interpretive tradition of the Law are the very words of God requiring humanity's strict obedience. </w:t>
      </w:r>
      <w:r>
        <w:rPr>
          <w:rFonts w:ascii="Calibri" w:hAnsi="Calibri" w:cs="Calibri"/>
          <w:i/>
          <w:iCs/>
          <w:color w:val="000000"/>
          <w:bdr w:val="none" w:sz="0" w:space="0" w:color="auto" w:frame="1"/>
        </w:rPr>
        <w:t>Reform Judaism</w:t>
      </w:r>
      <w:r>
        <w:rPr>
          <w:rFonts w:ascii="Calibri" w:hAnsi="Calibri" w:cs="Calibri"/>
          <w:color w:val="000000"/>
        </w:rPr>
        <w:t> more broadly and relatively applies the sacred texts to an evolving humanity. </w:t>
      </w:r>
      <w:r>
        <w:rPr>
          <w:rFonts w:ascii="Calibri" w:hAnsi="Calibri" w:cs="Calibri"/>
          <w:i/>
          <w:iCs/>
          <w:color w:val="000000"/>
          <w:bdr w:val="none" w:sz="0" w:space="0" w:color="auto" w:frame="1"/>
        </w:rPr>
        <w:t>Conservative Judaism</w:t>
      </w:r>
      <w:r>
        <w:rPr>
          <w:rFonts w:ascii="Calibri" w:hAnsi="Calibri" w:cs="Calibri"/>
          <w:color w:val="000000"/>
        </w:rPr>
        <w:t> assumes the median by affirming obedience to the Ten Commandments and an adaptive and evolving legal tradition. </w:t>
      </w:r>
      <w:proofErr w:type="spellStart"/>
      <w:r>
        <w:rPr>
          <w:rFonts w:ascii="Calibri" w:hAnsi="Calibri" w:cs="Calibri"/>
          <w:i/>
          <w:iCs/>
          <w:color w:val="000000"/>
          <w:bdr w:val="none" w:sz="0" w:space="0" w:color="auto" w:frame="1"/>
        </w:rPr>
        <w:t>Reconstructionism</w:t>
      </w:r>
      <w:proofErr w:type="spellEnd"/>
      <w:r>
        <w:rPr>
          <w:rFonts w:ascii="Calibri" w:hAnsi="Calibri" w:cs="Calibri"/>
          <w:i/>
          <w:iCs/>
          <w:color w:val="000000"/>
          <w:bdr w:val="none" w:sz="0" w:space="0" w:color="auto" w:frame="1"/>
        </w:rPr>
        <w:t> </w:t>
      </w:r>
      <w:r>
        <w:rPr>
          <w:rFonts w:ascii="Calibri" w:hAnsi="Calibri" w:cs="Calibri"/>
          <w:color w:val="000000"/>
        </w:rPr>
        <w:t>asserts that Judaism is nothing more than a civilization or a culture.</w:t>
      </w:r>
    </w:p>
    <w:p w:rsidR="00DE7B34" w:rsidRDefault="00DE7B34" w:rsidP="00DE7B34">
      <w:pPr>
        <w:pStyle w:val="gculctopicheading"/>
        <w:spacing w:before="200" w:beforeAutospacing="0" w:after="0" w:afterAutospacing="0" w:line="368" w:lineRule="atLeast"/>
        <w:rPr>
          <w:rFonts w:ascii="Calibri" w:hAnsi="Calibri" w:cs="Calibri"/>
          <w:color w:val="000000"/>
          <w:sz w:val="32"/>
          <w:szCs w:val="32"/>
        </w:rPr>
      </w:pPr>
      <w:r>
        <w:rPr>
          <w:rFonts w:ascii="Calibri" w:hAnsi="Calibri" w:cs="Calibri"/>
          <w:color w:val="000000"/>
          <w:sz w:val="32"/>
          <w:szCs w:val="32"/>
        </w:rPr>
        <w:t>Judaism: People and Parameters</w:t>
      </w:r>
    </w:p>
    <w:p w:rsidR="00DE7B34" w:rsidRDefault="00DE7B34" w:rsidP="00DE7B34">
      <w:pPr>
        <w:pStyle w:val="gculcbodytext"/>
        <w:spacing w:before="0" w:beforeAutospacing="0" w:after="0" w:afterAutospacing="0" w:line="276" w:lineRule="atLeast"/>
        <w:rPr>
          <w:rFonts w:ascii="Calibri" w:hAnsi="Calibri" w:cs="Calibri"/>
          <w:color w:val="000000"/>
        </w:rPr>
      </w:pPr>
      <w:r>
        <w:rPr>
          <w:rFonts w:ascii="Calibri" w:hAnsi="Calibri" w:cs="Calibri"/>
          <w:color w:val="000000"/>
        </w:rPr>
        <w:t>The terms </w:t>
      </w:r>
      <w:r>
        <w:rPr>
          <w:rFonts w:ascii="Calibri" w:hAnsi="Calibri" w:cs="Calibri"/>
          <w:i/>
          <w:iCs/>
          <w:color w:val="000000"/>
          <w:bdr w:val="none" w:sz="0" w:space="0" w:color="auto" w:frame="1"/>
        </w:rPr>
        <w:t>Jew</w:t>
      </w:r>
      <w:r>
        <w:rPr>
          <w:rFonts w:ascii="Calibri" w:hAnsi="Calibri" w:cs="Calibri"/>
          <w:color w:val="000000"/>
        </w:rPr>
        <w:t> and </w:t>
      </w:r>
      <w:r>
        <w:rPr>
          <w:rFonts w:ascii="Calibri" w:hAnsi="Calibri" w:cs="Calibri"/>
          <w:i/>
          <w:iCs/>
          <w:color w:val="000000"/>
          <w:bdr w:val="none" w:sz="0" w:space="0" w:color="auto" w:frame="1"/>
        </w:rPr>
        <w:t>Judaism</w:t>
      </w:r>
      <w:r>
        <w:rPr>
          <w:rFonts w:ascii="Calibri" w:hAnsi="Calibri" w:cs="Calibri"/>
          <w:color w:val="000000"/>
        </w:rPr>
        <w:t> derive from the tribe or kingdom of Judah (one of Jacob's sons), but today, nearly all who claim physical (birth, traced through the mother,) or spiritual (conversion) descent from Jacob are considered Jews. Often, the Bible referred to Jews as Hebrews or Children of Israel.</w:t>
      </w:r>
    </w:p>
    <w:p w:rsidR="00DE7B34" w:rsidRDefault="00DE7B34" w:rsidP="00DE7B34">
      <w:pPr>
        <w:pStyle w:val="gculcbodytext"/>
        <w:spacing w:before="0" w:beforeAutospacing="0" w:after="0" w:afterAutospacing="0" w:line="276" w:lineRule="atLeast"/>
        <w:rPr>
          <w:rFonts w:ascii="Calibri" w:hAnsi="Calibri" w:cs="Calibri"/>
          <w:color w:val="000000"/>
        </w:rPr>
      </w:pPr>
      <w:r>
        <w:rPr>
          <w:rFonts w:ascii="Calibri" w:hAnsi="Calibri" w:cs="Calibri"/>
          <w:color w:val="000000"/>
        </w:rPr>
        <w:t>It is estimated that there are over 14 million Jews in the world, with most living in either the United States or </w:t>
      </w:r>
      <w:hyperlink r:id="rId10" w:tgtFrame="_blank" w:history="1">
        <w:r>
          <w:rPr>
            <w:rStyle w:val="Hyperlink"/>
            <w:rFonts w:ascii="Calibri" w:hAnsi="Calibri" w:cs="Calibri"/>
            <w:bdr w:val="none" w:sz="0" w:space="0" w:color="auto" w:frame="1"/>
          </w:rPr>
          <w:t>Israel</w:t>
        </w:r>
      </w:hyperlink>
      <w:r>
        <w:rPr>
          <w:rFonts w:ascii="Calibri" w:hAnsi="Calibri" w:cs="Calibri"/>
          <w:color w:val="000000"/>
        </w:rPr>
        <w:t>, each with around 6 million Jews. Europe is home to around 1.5 million Jews, with 400,000 in Latin America and 350,000 in Canada. In Africa, there are less than 100,000 Jews, with about 90% of those living in South Africa. There are about 100,000 Jews in Australia and New Zealand combined, and approximately 50,000 Jews in Asia (outside of Israel).</w:t>
      </w:r>
    </w:p>
    <w:p w:rsidR="00DE7B34" w:rsidRDefault="00DE7B34" w:rsidP="00DE7B34">
      <w:pPr>
        <w:pStyle w:val="gculcbodytext"/>
        <w:spacing w:before="0" w:beforeAutospacing="0" w:after="0" w:afterAutospacing="0" w:line="276" w:lineRule="atLeast"/>
        <w:rPr>
          <w:rFonts w:ascii="Calibri" w:hAnsi="Calibri" w:cs="Calibri"/>
          <w:color w:val="000000"/>
        </w:rPr>
      </w:pPr>
      <w:r>
        <w:rPr>
          <w:rFonts w:ascii="Calibri" w:hAnsi="Calibri" w:cs="Calibri"/>
          <w:color w:val="000000"/>
        </w:rPr>
        <w:t>Though displaced and dispersed numerous times throughout their history, Jews have maintained their unique identity by following the way of the Torah. These dispersions, known as </w:t>
      </w:r>
      <w:r>
        <w:rPr>
          <w:rFonts w:ascii="Calibri" w:hAnsi="Calibri" w:cs="Calibri"/>
          <w:i/>
          <w:iCs/>
          <w:color w:val="000000"/>
          <w:bdr w:val="none" w:sz="0" w:space="0" w:color="auto" w:frame="1"/>
        </w:rPr>
        <w:t>diaspora</w:t>
      </w:r>
      <w:r>
        <w:rPr>
          <w:rFonts w:ascii="Calibri" w:hAnsi="Calibri" w:cs="Calibri"/>
          <w:color w:val="000000"/>
        </w:rPr>
        <w:t>, spread Judaism throughout the world.</w:t>
      </w:r>
    </w:p>
    <w:p w:rsidR="00DE7B34" w:rsidRDefault="00DE7B34" w:rsidP="00DE7B34">
      <w:pPr>
        <w:pStyle w:val="gculctopicheading"/>
        <w:spacing w:before="200" w:beforeAutospacing="0" w:after="0" w:afterAutospacing="0" w:line="368" w:lineRule="atLeast"/>
        <w:rPr>
          <w:rFonts w:ascii="Calibri" w:hAnsi="Calibri" w:cs="Calibri"/>
          <w:color w:val="000000"/>
          <w:sz w:val="32"/>
          <w:szCs w:val="32"/>
        </w:rPr>
      </w:pPr>
      <w:r>
        <w:rPr>
          <w:rFonts w:ascii="Calibri" w:hAnsi="Calibri" w:cs="Calibri"/>
          <w:color w:val="000000"/>
          <w:sz w:val="32"/>
          <w:szCs w:val="32"/>
        </w:rPr>
        <w:lastRenderedPageBreak/>
        <w:t>Judaism: God and Man in Kinship</w:t>
      </w:r>
    </w:p>
    <w:p w:rsidR="00DE7B34" w:rsidRDefault="00DE7B34" w:rsidP="00DE7B34">
      <w:pPr>
        <w:pStyle w:val="gculcbodytext"/>
        <w:spacing w:before="0" w:beforeAutospacing="0" w:after="0" w:afterAutospacing="0" w:line="276" w:lineRule="atLeast"/>
        <w:rPr>
          <w:rFonts w:ascii="Calibri" w:hAnsi="Calibri" w:cs="Calibri"/>
          <w:color w:val="000000"/>
        </w:rPr>
      </w:pPr>
      <w:r>
        <w:rPr>
          <w:rFonts w:ascii="Calibri" w:hAnsi="Calibri" w:cs="Calibri"/>
          <w:color w:val="000000"/>
        </w:rPr>
        <w:t>Humanity is made in God's image (Gen. 1:27). This suggests a kinsman relationship between God and humanity that allows personal fellowship between God and individuals and between God and chosen people groups. Humans have a special, spiritual status, a God-breathed </w:t>
      </w:r>
      <w:r>
        <w:rPr>
          <w:rFonts w:ascii="Calibri" w:hAnsi="Calibri" w:cs="Calibri"/>
          <w:i/>
          <w:iCs/>
          <w:color w:val="000000"/>
          <w:bdr w:val="none" w:sz="0" w:space="0" w:color="auto" w:frame="1"/>
        </w:rPr>
        <w:t>divine spark</w:t>
      </w:r>
      <w:r>
        <w:rPr>
          <w:rFonts w:ascii="Calibri" w:hAnsi="Calibri" w:cs="Calibri"/>
          <w:color w:val="000000"/>
        </w:rPr>
        <w:t> or soul. Humans occupy the center of God's creation, a creation that, as a whole, is good. Humanity is to order and manage creation for God's purposes.</w:t>
      </w:r>
    </w:p>
    <w:p w:rsidR="00DE7B34" w:rsidRDefault="00DE7B34" w:rsidP="00DE7B34">
      <w:pPr>
        <w:pStyle w:val="gculcbodytext"/>
        <w:spacing w:before="0" w:beforeAutospacing="0" w:after="0" w:afterAutospacing="0" w:line="276" w:lineRule="atLeast"/>
        <w:rPr>
          <w:rFonts w:ascii="Calibri" w:hAnsi="Calibri" w:cs="Calibri"/>
          <w:color w:val="000000"/>
        </w:rPr>
      </w:pPr>
      <w:r>
        <w:rPr>
          <w:rFonts w:ascii="Calibri" w:hAnsi="Calibri" w:cs="Calibri"/>
          <w:color w:val="000000"/>
        </w:rPr>
        <w:t>The failure of humans to meet the moral standard derived from God's very nature is </w:t>
      </w:r>
      <w:r>
        <w:rPr>
          <w:rFonts w:ascii="Calibri" w:hAnsi="Calibri" w:cs="Calibri"/>
          <w:i/>
          <w:iCs/>
          <w:color w:val="000000"/>
          <w:bdr w:val="none" w:sz="0" w:space="0" w:color="auto" w:frame="1"/>
        </w:rPr>
        <w:t>sin</w:t>
      </w:r>
      <w:r>
        <w:rPr>
          <w:rFonts w:ascii="Calibri" w:hAnsi="Calibri" w:cs="Calibri"/>
          <w:color w:val="000000"/>
        </w:rPr>
        <w:t>, missing the mark. Humans are not inherently sinful, but humans have both good and evil impulses that war within one's nature. Any violation of the Ten Commandments breaks the kinship-based fellowship between an individual and God or between a people group and God.</w:t>
      </w:r>
    </w:p>
    <w:p w:rsidR="00DE7B34" w:rsidRDefault="00DE7B34" w:rsidP="00DE7B34">
      <w:pPr>
        <w:pStyle w:val="gculctopicheading"/>
        <w:spacing w:before="200" w:beforeAutospacing="0" w:after="0" w:afterAutospacing="0" w:line="368" w:lineRule="atLeast"/>
        <w:rPr>
          <w:rFonts w:ascii="Calibri" w:hAnsi="Calibri" w:cs="Calibri"/>
          <w:color w:val="000000"/>
          <w:sz w:val="32"/>
          <w:szCs w:val="32"/>
        </w:rPr>
      </w:pPr>
      <w:r>
        <w:rPr>
          <w:rFonts w:ascii="Calibri" w:hAnsi="Calibri" w:cs="Calibri"/>
          <w:color w:val="000000"/>
          <w:sz w:val="32"/>
          <w:szCs w:val="32"/>
        </w:rPr>
        <w:t>Judaism: Sin and Restoration</w:t>
      </w:r>
    </w:p>
    <w:p w:rsidR="00DE7B34" w:rsidRDefault="00DE7B34" w:rsidP="00DE7B34">
      <w:pPr>
        <w:pStyle w:val="gculcbodytext"/>
        <w:spacing w:before="60" w:beforeAutospacing="0" w:after="120" w:afterAutospacing="0" w:line="276" w:lineRule="atLeast"/>
        <w:rPr>
          <w:rFonts w:ascii="Calibri" w:hAnsi="Calibri" w:cs="Calibri"/>
          <w:color w:val="000000"/>
        </w:rPr>
      </w:pPr>
      <w:r>
        <w:rPr>
          <w:rFonts w:ascii="Calibri" w:hAnsi="Calibri" w:cs="Calibri"/>
          <w:color w:val="000000"/>
        </w:rPr>
        <w:t>Disobedience to God's revealed law and failure to meet the revealed divine standard is the cause of human problems. God made known the standard to humanity through the words of God in the Torah; humans have the freedom and ability to hit the mark and obey God, or they can sin, disobey God, and reject the standard established by God.</w:t>
      </w:r>
    </w:p>
    <w:p w:rsidR="00DE7B34" w:rsidRDefault="00DE7B34" w:rsidP="00DE7B34">
      <w:pPr>
        <w:pStyle w:val="gculcbodytext"/>
        <w:spacing w:before="60" w:beforeAutospacing="0" w:after="120" w:afterAutospacing="0" w:line="276" w:lineRule="atLeast"/>
        <w:rPr>
          <w:rFonts w:ascii="Calibri" w:hAnsi="Calibri" w:cs="Calibri"/>
          <w:color w:val="000000"/>
        </w:rPr>
      </w:pPr>
      <w:r>
        <w:rPr>
          <w:rFonts w:ascii="Calibri" w:hAnsi="Calibri" w:cs="Calibri"/>
          <w:color w:val="000000"/>
        </w:rPr>
        <w:t>The restoration of and enjoyment of the fellowship with God is the goal of the resolution of human problems. There is no consensus on an individual eternal life, on individual future (eschatological) rewards, or on an anticipated day of judgment. There is also no consensus on the Messiah, a human descendant of King David anointed by God to restore the nation of Israel, place Israel at the head of the pantheon of nations and peoples, and, through Israel, institute universal peace, harmony, and justice. Where judgment is concerned, it asserts that individuals that died prior to the coming of the Messiah will rise from their graves and be judged on obedience to the Torah. Non-Jews (gentiles) will receive judgment, though there is little agreement among those anticipating judgment on the standard applied; considered too during judgment, obedience to the Torah known to the individual will be considered.</w:t>
      </w:r>
    </w:p>
    <w:p w:rsidR="00DE7B34" w:rsidRDefault="00DE7B34" w:rsidP="00DE7B34">
      <w:pPr>
        <w:pStyle w:val="gculctopicheading"/>
        <w:spacing w:before="200" w:beforeAutospacing="0" w:after="0" w:afterAutospacing="0" w:line="368" w:lineRule="atLeast"/>
        <w:rPr>
          <w:rFonts w:ascii="Calibri" w:hAnsi="Calibri" w:cs="Calibri"/>
          <w:color w:val="000000"/>
          <w:sz w:val="32"/>
          <w:szCs w:val="32"/>
        </w:rPr>
      </w:pPr>
      <w:r>
        <w:rPr>
          <w:rFonts w:ascii="Calibri" w:hAnsi="Calibri" w:cs="Calibri"/>
          <w:color w:val="000000"/>
          <w:sz w:val="32"/>
          <w:szCs w:val="32"/>
        </w:rPr>
        <w:t>Walking in the Ways of the Torah</w:t>
      </w:r>
    </w:p>
    <w:p w:rsidR="00DE7B34" w:rsidRDefault="00DE7B34" w:rsidP="00DE7B34">
      <w:pPr>
        <w:pStyle w:val="gculcbodytext"/>
        <w:spacing w:before="0" w:beforeAutospacing="0" w:after="0" w:afterAutospacing="0" w:line="276" w:lineRule="atLeast"/>
        <w:rPr>
          <w:rFonts w:ascii="Calibri" w:hAnsi="Calibri" w:cs="Calibri"/>
          <w:color w:val="000000"/>
        </w:rPr>
      </w:pPr>
      <w:r>
        <w:rPr>
          <w:rFonts w:ascii="Calibri" w:hAnsi="Calibri" w:cs="Calibri"/>
          <w:color w:val="000000"/>
        </w:rPr>
        <w:t>The way of the Torah, which is obedience to the revelation of God, is the means of transformation and the return to the fellowship with God. Obedience to the Torah brings joy, a calm delight, and trust in God, regardless of one's circumstances. The Jewish calendar and festivals remind the Jews of the benefits and curses of following or not following the way of the Torah. Each holiday is a holy day designed to be a time of recalling, repenting, and renewing old commitments to follow the way of the Torah in order to maintain one's kinsman fellowship with God. For example, </w:t>
      </w:r>
      <w:r>
        <w:rPr>
          <w:rFonts w:ascii="Calibri" w:hAnsi="Calibri" w:cs="Calibri"/>
          <w:i/>
          <w:iCs/>
          <w:color w:val="000000"/>
          <w:bdr w:val="none" w:sz="0" w:space="0" w:color="auto" w:frame="1"/>
        </w:rPr>
        <w:t>Nisan</w:t>
      </w:r>
      <w:r>
        <w:rPr>
          <w:rFonts w:ascii="Calibri" w:hAnsi="Calibri" w:cs="Calibri"/>
          <w:color w:val="000000"/>
        </w:rPr>
        <w:t> marks Passover, the time of Israel's deliverance from Egyptian bondage; </w:t>
      </w:r>
      <w:r>
        <w:rPr>
          <w:rFonts w:ascii="Calibri" w:hAnsi="Calibri" w:cs="Calibri"/>
          <w:i/>
          <w:iCs/>
          <w:color w:val="000000"/>
          <w:bdr w:val="none" w:sz="0" w:space="0" w:color="auto" w:frame="1"/>
        </w:rPr>
        <w:t>Sivan</w:t>
      </w:r>
      <w:r>
        <w:rPr>
          <w:rFonts w:ascii="Calibri" w:hAnsi="Calibri" w:cs="Calibri"/>
          <w:color w:val="000000"/>
        </w:rPr>
        <w:t> brings the Feast of Pentecost, the celebration of the continuing bountiful harvests from God; and </w:t>
      </w:r>
      <w:r>
        <w:rPr>
          <w:rFonts w:ascii="Calibri" w:hAnsi="Calibri" w:cs="Calibri"/>
          <w:i/>
          <w:iCs/>
          <w:color w:val="000000"/>
          <w:bdr w:val="none" w:sz="0" w:space="0" w:color="auto" w:frame="1"/>
        </w:rPr>
        <w:t>Tishri</w:t>
      </w:r>
      <w:r>
        <w:rPr>
          <w:rFonts w:ascii="Calibri" w:hAnsi="Calibri" w:cs="Calibri"/>
          <w:color w:val="000000"/>
        </w:rPr>
        <w:t>'s Feast of the Tabernacles takes the people back to their wilderness wanderings and God's provision for them. The same is true of Jewish ceremonies and rites. For example, </w:t>
      </w:r>
      <w:r>
        <w:rPr>
          <w:rFonts w:ascii="Calibri" w:hAnsi="Calibri" w:cs="Calibri"/>
          <w:i/>
          <w:iCs/>
          <w:color w:val="000000"/>
          <w:bdr w:val="none" w:sz="0" w:space="0" w:color="auto" w:frame="1"/>
        </w:rPr>
        <w:t>bar mitzvah</w:t>
      </w:r>
      <w:r>
        <w:rPr>
          <w:rFonts w:ascii="Calibri" w:hAnsi="Calibri" w:cs="Calibri"/>
          <w:color w:val="000000"/>
        </w:rPr>
        <w:t> marks entry into adulthood and accountability for one's actions, and circumcision marks the male child as a member of God's covenant community and reminds the family and the community of their responsibilities to lead the child in the way of the Torah. All forms of Judaism agree that the study of the Torah is necessary to following the way of the Torah.</w:t>
      </w:r>
    </w:p>
    <w:p w:rsidR="00DE7B34" w:rsidRDefault="00DE7B34" w:rsidP="00DE7B34">
      <w:pPr>
        <w:pStyle w:val="gculcbodytext"/>
        <w:spacing w:before="0" w:beforeAutospacing="0" w:after="0" w:afterAutospacing="0" w:line="276" w:lineRule="atLeast"/>
        <w:rPr>
          <w:rFonts w:ascii="Calibri" w:hAnsi="Calibri" w:cs="Calibri"/>
          <w:color w:val="000000"/>
        </w:rPr>
      </w:pPr>
      <w:r>
        <w:rPr>
          <w:rFonts w:ascii="Calibri" w:hAnsi="Calibri" w:cs="Calibri"/>
          <w:color w:val="000000"/>
        </w:rPr>
        <w:lastRenderedPageBreak/>
        <w:t>God is revealed in the Torah (which, for some, encompasses the </w:t>
      </w:r>
      <w:proofErr w:type="spellStart"/>
      <w:r>
        <w:rPr>
          <w:rFonts w:ascii="Calibri" w:hAnsi="Calibri" w:cs="Calibri"/>
          <w:i/>
          <w:iCs/>
          <w:color w:val="000000"/>
          <w:bdr w:val="none" w:sz="0" w:space="0" w:color="auto" w:frame="1"/>
        </w:rPr>
        <w:t>Tanakh</w:t>
      </w:r>
      <w:proofErr w:type="spellEnd"/>
      <w:r>
        <w:rPr>
          <w:rFonts w:ascii="Calibri" w:hAnsi="Calibri" w:cs="Calibri"/>
          <w:i/>
          <w:iCs/>
          <w:color w:val="000000"/>
          <w:bdr w:val="none" w:sz="0" w:space="0" w:color="auto" w:frame="1"/>
        </w:rPr>
        <w:t>, </w:t>
      </w:r>
      <w:r>
        <w:rPr>
          <w:rFonts w:ascii="Calibri" w:hAnsi="Calibri" w:cs="Calibri"/>
          <w:color w:val="000000"/>
        </w:rPr>
        <w:t xml:space="preserve">all of the writings of what Christians call the Old Testament). God is an </w:t>
      </w:r>
      <w:proofErr w:type="spellStart"/>
      <w:r>
        <w:rPr>
          <w:rFonts w:ascii="Calibri" w:hAnsi="Calibri" w:cs="Calibri"/>
          <w:color w:val="000000"/>
        </w:rPr>
        <w:t>all powerful</w:t>
      </w:r>
      <w:proofErr w:type="spellEnd"/>
      <w:r>
        <w:rPr>
          <w:rFonts w:ascii="Calibri" w:hAnsi="Calibri" w:cs="Calibri"/>
          <w:color w:val="000000"/>
        </w:rPr>
        <w:t>, creator God, called </w:t>
      </w:r>
      <w:r>
        <w:rPr>
          <w:rFonts w:ascii="Calibri" w:hAnsi="Calibri" w:cs="Calibri"/>
          <w:i/>
          <w:iCs/>
          <w:color w:val="000000"/>
          <w:bdr w:val="none" w:sz="0" w:space="0" w:color="auto" w:frame="1"/>
        </w:rPr>
        <w:t>Elohim</w:t>
      </w:r>
      <w:r>
        <w:rPr>
          <w:rFonts w:ascii="Calibri" w:hAnsi="Calibri" w:cs="Calibri"/>
          <w:color w:val="000000"/>
        </w:rPr>
        <w:t> in that capacity, whose sacred covenant name, </w:t>
      </w:r>
      <w:r>
        <w:rPr>
          <w:rFonts w:ascii="Calibri" w:hAnsi="Calibri" w:cs="Calibri"/>
          <w:i/>
          <w:iCs/>
          <w:color w:val="000000"/>
          <w:bdr w:val="none" w:sz="0" w:space="0" w:color="auto" w:frame="1"/>
        </w:rPr>
        <w:t>YHWH</w:t>
      </w:r>
      <w:proofErr w:type="gramStart"/>
      <w:r>
        <w:rPr>
          <w:rFonts w:ascii="Calibri" w:hAnsi="Calibri" w:cs="Calibri"/>
          <w:color w:val="000000"/>
        </w:rPr>
        <w:t>  (</w:t>
      </w:r>
      <w:proofErr w:type="gramEnd"/>
      <w:r>
        <w:rPr>
          <w:rFonts w:ascii="Calibri" w:hAnsi="Calibri" w:cs="Calibri"/>
          <w:color w:val="000000"/>
        </w:rPr>
        <w:t>"I Am That I Am"), is used when God is acting in kinsman fellowship (covenant) with humanity. </w:t>
      </w:r>
      <w:r>
        <w:rPr>
          <w:rFonts w:ascii="Calibri" w:hAnsi="Calibri" w:cs="Calibri"/>
          <w:i/>
          <w:iCs/>
          <w:color w:val="000000"/>
          <w:bdr w:val="none" w:sz="0" w:space="0" w:color="auto" w:frame="1"/>
        </w:rPr>
        <w:t>YHWH</w:t>
      </w:r>
      <w:r>
        <w:rPr>
          <w:rFonts w:ascii="Calibri" w:hAnsi="Calibri" w:cs="Calibri"/>
          <w:color w:val="000000"/>
        </w:rPr>
        <w:t>, the </w:t>
      </w:r>
      <w:r>
        <w:rPr>
          <w:rFonts w:ascii="Calibri" w:hAnsi="Calibri" w:cs="Calibri"/>
          <w:i/>
          <w:iCs/>
          <w:color w:val="000000"/>
          <w:bdr w:val="none" w:sz="0" w:space="0" w:color="auto" w:frame="1"/>
        </w:rPr>
        <w:t>tetragrammaton</w:t>
      </w:r>
      <w:r>
        <w:rPr>
          <w:rFonts w:ascii="Calibri" w:hAnsi="Calibri" w:cs="Calibri"/>
          <w:color w:val="000000"/>
        </w:rPr>
        <w:t>, generally translated LORD, was formed without vowels both in the written or spoken word in order to avoid taking the Lord's name in vain in violation of the second commandment.</w:t>
      </w:r>
    </w:p>
    <w:p w:rsidR="00DE7B34" w:rsidRDefault="00DE7B34" w:rsidP="00DE7B34">
      <w:pPr>
        <w:pStyle w:val="gculctopicheading"/>
        <w:spacing w:before="200" w:beforeAutospacing="0" w:after="0" w:afterAutospacing="0" w:line="368" w:lineRule="atLeast"/>
        <w:rPr>
          <w:rFonts w:ascii="Calibri" w:hAnsi="Calibri" w:cs="Calibri"/>
          <w:color w:val="000000"/>
          <w:sz w:val="32"/>
          <w:szCs w:val="32"/>
        </w:rPr>
      </w:pPr>
      <w:r>
        <w:rPr>
          <w:rFonts w:ascii="Calibri" w:hAnsi="Calibri" w:cs="Calibri"/>
          <w:color w:val="000000"/>
          <w:sz w:val="32"/>
          <w:szCs w:val="32"/>
        </w:rPr>
        <w:t>References</w:t>
      </w:r>
    </w:p>
    <w:p w:rsidR="00DE7B34" w:rsidRDefault="00DE7B34" w:rsidP="00DE7B34">
      <w:pPr>
        <w:pStyle w:val="gculcreference"/>
        <w:spacing w:before="0" w:beforeAutospacing="0" w:after="0" w:afterAutospacing="0" w:line="276" w:lineRule="atLeast"/>
        <w:ind w:left="360" w:hanging="360"/>
        <w:rPr>
          <w:rFonts w:ascii="Calibri" w:hAnsi="Calibri" w:cs="Calibri"/>
          <w:color w:val="000000"/>
        </w:rPr>
      </w:pPr>
      <w:r>
        <w:rPr>
          <w:rFonts w:ascii="Calibri" w:hAnsi="Calibri" w:cs="Calibri"/>
          <w:color w:val="000000"/>
        </w:rPr>
        <w:t>Smith, H. (2001). </w:t>
      </w:r>
      <w:r>
        <w:rPr>
          <w:rFonts w:ascii="Calibri" w:hAnsi="Calibri" w:cs="Calibri"/>
          <w:i/>
          <w:iCs/>
          <w:color w:val="000000"/>
          <w:bdr w:val="none" w:sz="0" w:space="0" w:color="auto" w:frame="1"/>
        </w:rPr>
        <w:t>Why religion matters: The fate of the human spirit in an age of disbelief.</w:t>
      </w:r>
      <w:r>
        <w:rPr>
          <w:rFonts w:ascii="Calibri" w:hAnsi="Calibri" w:cs="Calibri"/>
          <w:color w:val="000000"/>
        </w:rPr>
        <w:t> New York, NY: HarperCollins.</w:t>
      </w:r>
    </w:p>
    <w:p w:rsidR="00DE7B34" w:rsidRPr="00B97CD8" w:rsidRDefault="00DE7B34" w:rsidP="00B97CD8"/>
    <w:sectPr w:rsidR="00DE7B34" w:rsidRPr="00B97C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326EC"/>
    <w:multiLevelType w:val="multilevel"/>
    <w:tmpl w:val="D1C40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3E5286"/>
    <w:multiLevelType w:val="multilevel"/>
    <w:tmpl w:val="2E909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549"/>
    <w:rsid w:val="00AB06BD"/>
    <w:rsid w:val="00B3655D"/>
    <w:rsid w:val="00B97CD8"/>
    <w:rsid w:val="00DC6549"/>
    <w:rsid w:val="00DE7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9AECA"/>
  <w15:chartTrackingRefBased/>
  <w15:docId w15:val="{2CB754B1-F714-4ADA-B1D9-8AFCD7D2B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B97CD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6549"/>
    <w:rPr>
      <w:color w:val="0000FF"/>
      <w:u w:val="single"/>
    </w:rPr>
  </w:style>
  <w:style w:type="character" w:customStyle="1" w:styleId="Heading2Char">
    <w:name w:val="Heading 2 Char"/>
    <w:basedOn w:val="DefaultParagraphFont"/>
    <w:link w:val="Heading2"/>
    <w:uiPriority w:val="9"/>
    <w:rsid w:val="00B97CD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E7B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ulcdocumenttitle">
    <w:name w:val="gculcdocumenttitle"/>
    <w:basedOn w:val="Normal"/>
    <w:rsid w:val="00DE7B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ulctopicheading">
    <w:name w:val="gculctopicheading"/>
    <w:basedOn w:val="Normal"/>
    <w:rsid w:val="00DE7B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ulcsubtopicheading">
    <w:name w:val="gculcsubtopicheading"/>
    <w:basedOn w:val="Normal"/>
    <w:rsid w:val="00DE7B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ulcbodytext">
    <w:name w:val="gculcbodytext"/>
    <w:basedOn w:val="Normal"/>
    <w:rsid w:val="00DE7B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ulcblockquotation">
    <w:name w:val="gculcblockquotation"/>
    <w:basedOn w:val="Normal"/>
    <w:rsid w:val="00DE7B3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ulcreference">
    <w:name w:val="gculcreference"/>
    <w:basedOn w:val="Normal"/>
    <w:rsid w:val="00DE7B3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910172">
      <w:bodyDiv w:val="1"/>
      <w:marLeft w:val="0"/>
      <w:marRight w:val="0"/>
      <w:marTop w:val="0"/>
      <w:marBottom w:val="0"/>
      <w:divBdr>
        <w:top w:val="none" w:sz="0" w:space="0" w:color="auto"/>
        <w:left w:val="none" w:sz="0" w:space="0" w:color="auto"/>
        <w:bottom w:val="none" w:sz="0" w:space="0" w:color="auto"/>
        <w:right w:val="none" w:sz="0" w:space="0" w:color="auto"/>
      </w:divBdr>
    </w:div>
    <w:div w:id="604389803">
      <w:bodyDiv w:val="1"/>
      <w:marLeft w:val="0"/>
      <w:marRight w:val="0"/>
      <w:marTop w:val="0"/>
      <w:marBottom w:val="0"/>
      <w:divBdr>
        <w:top w:val="none" w:sz="0" w:space="0" w:color="auto"/>
        <w:left w:val="none" w:sz="0" w:space="0" w:color="auto"/>
        <w:bottom w:val="none" w:sz="0" w:space="0" w:color="auto"/>
        <w:right w:val="none" w:sz="0" w:space="0" w:color="auto"/>
      </w:divBdr>
    </w:div>
    <w:div w:id="1164902635">
      <w:bodyDiv w:val="1"/>
      <w:marLeft w:val="0"/>
      <w:marRight w:val="0"/>
      <w:marTop w:val="0"/>
      <w:marBottom w:val="0"/>
      <w:divBdr>
        <w:top w:val="none" w:sz="0" w:space="0" w:color="auto"/>
        <w:left w:val="none" w:sz="0" w:space="0" w:color="auto"/>
        <w:bottom w:val="none" w:sz="0" w:space="0" w:color="auto"/>
        <w:right w:val="none" w:sz="0" w:space="0" w:color="auto"/>
      </w:divBdr>
    </w:div>
    <w:div w:id="1504738172">
      <w:bodyDiv w:val="1"/>
      <w:marLeft w:val="0"/>
      <w:marRight w:val="0"/>
      <w:marTop w:val="0"/>
      <w:marBottom w:val="0"/>
      <w:divBdr>
        <w:top w:val="none" w:sz="0" w:space="0" w:color="auto"/>
        <w:left w:val="none" w:sz="0" w:space="0" w:color="auto"/>
        <w:bottom w:val="none" w:sz="0" w:space="0" w:color="auto"/>
        <w:right w:val="none" w:sz="0" w:space="0" w:color="auto"/>
      </w:divBdr>
    </w:div>
    <w:div w:id="210360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j.org/humanistic-jewish-life/issues-and-resolutions/who-is/" TargetMode="External"/><Relationship Id="rId3" Type="http://schemas.openxmlformats.org/officeDocument/2006/relationships/settings" Target="settings.xml"/><Relationship Id="rId7" Type="http://schemas.openxmlformats.org/officeDocument/2006/relationships/hyperlink" Target="https://www.bbc.com/news/world-middle-east-1068892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pes.idm.oclc.org/login?url=http://fod.infobase.com/PortalPlaylists.aspx?wID=96349&amp;xtid=39046" TargetMode="External"/><Relationship Id="rId11" Type="http://schemas.openxmlformats.org/officeDocument/2006/relationships/fontTable" Target="fontTable.xml"/><Relationship Id="rId5" Type="http://schemas.openxmlformats.org/officeDocument/2006/relationships/hyperlink" Target="https://fod-infobase-com.lopes.idm.oclc.org/p_ViewVideo.aspx?xtid=11958" TargetMode="External"/><Relationship Id="rId10" Type="http://schemas.openxmlformats.org/officeDocument/2006/relationships/hyperlink" Target="http://www.jewfaq.org/defs/israel.htm" TargetMode="External"/><Relationship Id="rId4" Type="http://schemas.openxmlformats.org/officeDocument/2006/relationships/webSettings" Target="webSettings.xml"/><Relationship Id="rId9" Type="http://schemas.openxmlformats.org/officeDocument/2006/relationships/hyperlink" Target="https://viewer.gcu.edu/EMXAK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1418</Words>
  <Characters>8089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 D. Anderson Cancer Center</Company>
  <LinksUpToDate>false</LinksUpToDate>
  <CharactersWithSpaces>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McKenzie,Karisha N</dc:creator>
  <cp:keywords/>
  <dc:description/>
  <cp:lastModifiedBy>McKenzie,Karisha N</cp:lastModifiedBy>
  <cp:revision>1</cp:revision>
  <dcterms:created xsi:type="dcterms:W3CDTF">2019-08-01T18:23:00Z</dcterms:created>
  <dcterms:modified xsi:type="dcterms:W3CDTF">2019-08-01T19:03:00Z</dcterms:modified>
</cp:coreProperties>
</file>