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20A" w:rsidRPr="0071120A" w:rsidRDefault="0071120A" w:rsidP="0071120A">
      <w:pPr>
        <w:shd w:val="clear" w:color="auto" w:fill="857E5B"/>
        <w:spacing w:after="100" w:afterAutospacing="1" w:line="240" w:lineRule="auto"/>
        <w:rPr>
          <w:rFonts w:ascii="Arial" w:eastAsia="Times New Roman" w:hAnsi="Arial" w:cs="Arial"/>
          <w:color w:val="FFFFFF"/>
          <w:spacing w:val="20"/>
          <w:sz w:val="17"/>
          <w:szCs w:val="17"/>
        </w:rPr>
      </w:pPr>
      <w:r w:rsidRPr="0071120A">
        <w:rPr>
          <w:rFonts w:ascii="Arial" w:eastAsia="Times New Roman" w:hAnsi="Arial" w:cs="Arial"/>
          <w:color w:val="FFFFFF"/>
          <w:spacing w:val="20"/>
          <w:sz w:val="17"/>
          <w:szCs w:val="17"/>
        </w:rPr>
        <w:t>Module 03 - Taking Action and Providing Services</w:t>
      </w:r>
    </w:p>
    <w:p w:rsidR="0071120A" w:rsidRPr="0071120A" w:rsidRDefault="0071120A" w:rsidP="0071120A">
      <w:pPr>
        <w:shd w:val="clear" w:color="auto" w:fill="FFFFFF"/>
        <w:spacing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Goals are an important part of the helping process as they set the direction of work to be done. Practitioners collaborate with clients to identify goals and what the client wants to achieve. The clients' participation in goal setting is critical to success. Questions that seek clarification help clients figure out what goals they are motivated to achieve. Use exception-finding questions to explore times when the problem was not present and/or times when the problem was smaller or less problematic.</w:t>
      </w:r>
    </w:p>
    <w:p w:rsidR="0071120A" w:rsidRPr="0071120A" w:rsidRDefault="0071120A" w:rsidP="0071120A">
      <w:pPr>
        <w:pBdr>
          <w:bottom w:val="dotted" w:sz="6" w:space="3" w:color="7F7F70"/>
        </w:pBdr>
        <w:shd w:val="clear" w:color="auto" w:fill="FFFFFF"/>
        <w:spacing w:after="0" w:line="240" w:lineRule="auto"/>
        <w:outlineLvl w:val="0"/>
        <w:rPr>
          <w:rFonts w:ascii="Arial" w:eastAsia="Times New Roman" w:hAnsi="Arial" w:cs="Arial"/>
          <w:b/>
          <w:bCs/>
          <w:color w:val="963823"/>
          <w:spacing w:val="15"/>
          <w:kern w:val="36"/>
          <w:sz w:val="27"/>
          <w:szCs w:val="27"/>
        </w:rPr>
      </w:pPr>
      <w:r w:rsidRPr="0071120A">
        <w:rPr>
          <w:rFonts w:ascii="Arial" w:eastAsia="Times New Roman" w:hAnsi="Arial" w:cs="Arial"/>
          <w:b/>
          <w:bCs/>
          <w:color w:val="963823"/>
          <w:spacing w:val="15"/>
          <w:kern w:val="36"/>
          <w:sz w:val="27"/>
          <w:szCs w:val="27"/>
        </w:rPr>
        <w:t>MAPS (Measurable, Attainable, Positive, and Specific) Goals</w:t>
      </w:r>
    </w:p>
    <w:p w:rsidR="0071120A" w:rsidRPr="0071120A" w:rsidRDefault="0071120A" w:rsidP="0071120A">
      <w:pPr>
        <w:shd w:val="clear" w:color="auto" w:fill="FFFFFF"/>
        <w:spacing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Every practitioner has a different style, and many agencies have different expectations. Some practitioners use MAPS goals all the time, and some agencies require very specific, measurable goals. Other practitioners prefer to work with more general goals but may identify very specific steps as they help clients think about ways to reach their goals.</w:t>
      </w:r>
    </w:p>
    <w:p w:rsidR="0071120A" w:rsidRPr="0071120A" w:rsidRDefault="0071120A" w:rsidP="0071120A">
      <w:pPr>
        <w:shd w:val="clear" w:color="auto" w:fill="FFFFFF"/>
        <w:spacing w:line="240" w:lineRule="auto"/>
        <w:outlineLvl w:val="1"/>
        <w:rPr>
          <w:rFonts w:ascii="Arial" w:eastAsia="Times New Roman" w:hAnsi="Arial" w:cs="Arial"/>
          <w:b/>
          <w:bCs/>
          <w:color w:val="963823"/>
          <w:sz w:val="21"/>
          <w:szCs w:val="21"/>
        </w:rPr>
      </w:pPr>
      <w:r w:rsidRPr="0071120A">
        <w:rPr>
          <w:rFonts w:ascii="Arial" w:eastAsia="Times New Roman" w:hAnsi="Arial" w:cs="Arial"/>
          <w:b/>
          <w:bCs/>
          <w:color w:val="963823"/>
          <w:sz w:val="21"/>
          <w:szCs w:val="21"/>
        </w:rPr>
        <w:t>Identifying Measurable, Attainable, Positive, and Specific (MAPS) Goals</w:t>
      </w:r>
    </w:p>
    <w:tbl>
      <w:tblPr>
        <w:tblW w:w="0" w:type="auto"/>
        <w:shd w:val="clear" w:color="auto" w:fill="EAEADE"/>
        <w:tblCellMar>
          <w:top w:w="15" w:type="dxa"/>
          <w:left w:w="15" w:type="dxa"/>
          <w:bottom w:w="15" w:type="dxa"/>
          <w:right w:w="15" w:type="dxa"/>
        </w:tblCellMar>
        <w:tblLook w:val="04A0" w:firstRow="1" w:lastRow="0" w:firstColumn="1" w:lastColumn="0" w:noHBand="0" w:noVBand="1"/>
      </w:tblPr>
      <w:tblGrid>
        <w:gridCol w:w="2175"/>
        <w:gridCol w:w="6675"/>
      </w:tblGrid>
      <w:tr w:rsidR="0071120A" w:rsidRPr="0071120A" w:rsidTr="0071120A">
        <w:tc>
          <w:tcPr>
            <w:tcW w:w="2175" w:type="dxa"/>
            <w:tcBorders>
              <w:top w:val="single" w:sz="2" w:space="0" w:color="857E5B"/>
              <w:left w:val="single" w:sz="2" w:space="0" w:color="857E5B"/>
              <w:bottom w:val="single" w:sz="2" w:space="0" w:color="857E5B"/>
              <w:right w:val="single" w:sz="2" w:space="0" w:color="857E5B"/>
            </w:tcBorders>
            <w:shd w:val="clear" w:color="auto" w:fill="FDC331"/>
            <w:tcMar>
              <w:top w:w="90" w:type="dxa"/>
              <w:left w:w="90" w:type="dxa"/>
              <w:bottom w:w="90" w:type="dxa"/>
              <w:right w:w="90" w:type="dxa"/>
            </w:tcMar>
            <w:hideMark/>
          </w:tcPr>
          <w:p w:rsidR="0071120A" w:rsidRPr="0071120A" w:rsidRDefault="0071120A" w:rsidP="0071120A">
            <w:pPr>
              <w:spacing w:after="100" w:afterAutospacing="1" w:line="270" w:lineRule="atLeast"/>
              <w:rPr>
                <w:rFonts w:ascii="Arial" w:eastAsia="Times New Roman" w:hAnsi="Arial" w:cs="Arial"/>
                <w:b/>
                <w:bCs/>
                <w:color w:val="857E5B"/>
                <w:sz w:val="21"/>
                <w:szCs w:val="21"/>
              </w:rPr>
            </w:pPr>
            <w:r w:rsidRPr="0071120A">
              <w:rPr>
                <w:rFonts w:ascii="Arial" w:eastAsia="Times New Roman" w:hAnsi="Arial" w:cs="Arial"/>
                <w:b/>
                <w:bCs/>
                <w:color w:val="857E5B"/>
                <w:sz w:val="21"/>
                <w:szCs w:val="21"/>
              </w:rPr>
              <w:t>Goal Type</w:t>
            </w:r>
          </w:p>
        </w:tc>
        <w:tc>
          <w:tcPr>
            <w:tcW w:w="6675" w:type="dxa"/>
            <w:tcBorders>
              <w:top w:val="single" w:sz="2" w:space="0" w:color="857E5B"/>
              <w:left w:val="single" w:sz="2" w:space="0" w:color="857E5B"/>
              <w:bottom w:val="single" w:sz="2" w:space="0" w:color="857E5B"/>
              <w:right w:val="single" w:sz="2" w:space="0" w:color="857E5B"/>
            </w:tcBorders>
            <w:shd w:val="clear" w:color="auto" w:fill="FDC331"/>
            <w:tcMar>
              <w:top w:w="90" w:type="dxa"/>
              <w:left w:w="90" w:type="dxa"/>
              <w:bottom w:w="90" w:type="dxa"/>
              <w:right w:w="90" w:type="dxa"/>
            </w:tcMar>
            <w:hideMark/>
          </w:tcPr>
          <w:p w:rsidR="0071120A" w:rsidRPr="0071120A" w:rsidRDefault="0071120A" w:rsidP="0071120A">
            <w:pPr>
              <w:spacing w:after="100" w:afterAutospacing="1" w:line="270" w:lineRule="atLeast"/>
              <w:rPr>
                <w:rFonts w:ascii="Arial" w:eastAsia="Times New Roman" w:hAnsi="Arial" w:cs="Arial"/>
                <w:b/>
                <w:bCs/>
                <w:color w:val="857E5B"/>
                <w:sz w:val="21"/>
                <w:szCs w:val="21"/>
              </w:rPr>
            </w:pPr>
            <w:r w:rsidRPr="0071120A">
              <w:rPr>
                <w:rFonts w:ascii="Arial" w:eastAsia="Times New Roman" w:hAnsi="Arial" w:cs="Arial"/>
                <w:b/>
                <w:bCs/>
                <w:color w:val="857E5B"/>
                <w:sz w:val="21"/>
                <w:szCs w:val="21"/>
              </w:rPr>
              <w:t>Characteristics</w:t>
            </w:r>
          </w:p>
        </w:tc>
      </w:tr>
      <w:tr w:rsidR="0071120A" w:rsidRPr="0071120A" w:rsidTr="0071120A">
        <w:tc>
          <w:tcPr>
            <w:tcW w:w="2175" w:type="dxa"/>
            <w:tcBorders>
              <w:top w:val="single" w:sz="2" w:space="0" w:color="857E5B"/>
              <w:left w:val="single" w:sz="2" w:space="0" w:color="857E5B"/>
              <w:bottom w:val="single" w:sz="2" w:space="0" w:color="857E5B"/>
              <w:right w:val="single" w:sz="2" w:space="0" w:color="857E5B"/>
            </w:tcBorders>
            <w:shd w:val="clear" w:color="auto" w:fill="EAEADE"/>
            <w:tcMar>
              <w:top w:w="90" w:type="dxa"/>
              <w:left w:w="90" w:type="dxa"/>
              <w:bottom w:w="90" w:type="dxa"/>
              <w:right w:w="90" w:type="dxa"/>
            </w:tcMar>
            <w:hideMark/>
          </w:tcPr>
          <w:p w:rsidR="0071120A" w:rsidRPr="0071120A" w:rsidRDefault="0071120A" w:rsidP="0071120A">
            <w:pPr>
              <w:spacing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 xml:space="preserve">Measurable and Specific </w:t>
            </w:r>
          </w:p>
        </w:tc>
        <w:tc>
          <w:tcPr>
            <w:tcW w:w="6675" w:type="dxa"/>
            <w:tcBorders>
              <w:top w:val="single" w:sz="2" w:space="0" w:color="857E5B"/>
              <w:left w:val="single" w:sz="2" w:space="0" w:color="857E5B"/>
              <w:bottom w:val="single" w:sz="2" w:space="0" w:color="857E5B"/>
              <w:right w:val="single" w:sz="2" w:space="0" w:color="857E5B"/>
            </w:tcBorders>
            <w:shd w:val="clear" w:color="auto" w:fill="EAEADE"/>
            <w:tcMar>
              <w:top w:w="90" w:type="dxa"/>
              <w:left w:w="90" w:type="dxa"/>
              <w:bottom w:w="90" w:type="dxa"/>
              <w:right w:w="90" w:type="dxa"/>
            </w:tcMar>
            <w:hideMark/>
          </w:tcPr>
          <w:p w:rsidR="0071120A" w:rsidRPr="0071120A" w:rsidRDefault="0071120A" w:rsidP="0071120A">
            <w:pPr>
              <w:numPr>
                <w:ilvl w:val="0"/>
                <w:numId w:val="2"/>
              </w:numPr>
              <w:spacing w:before="100" w:beforeAutospacing="1"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These goal types make it possible for clients and practitioners to evaluate changes that have been made.</w:t>
            </w:r>
          </w:p>
          <w:p w:rsidR="0071120A" w:rsidRPr="0071120A" w:rsidRDefault="0071120A" w:rsidP="0071120A">
            <w:pPr>
              <w:numPr>
                <w:ilvl w:val="0"/>
                <w:numId w:val="2"/>
              </w:numPr>
              <w:spacing w:before="100" w:beforeAutospacing="1"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They provide a clear direction and focus for work.</w:t>
            </w:r>
          </w:p>
        </w:tc>
      </w:tr>
      <w:tr w:rsidR="0071120A" w:rsidRPr="0071120A" w:rsidTr="0071120A">
        <w:tc>
          <w:tcPr>
            <w:tcW w:w="2175" w:type="dxa"/>
            <w:tcBorders>
              <w:top w:val="single" w:sz="2" w:space="0" w:color="857E5B"/>
              <w:left w:val="single" w:sz="2" w:space="0" w:color="857E5B"/>
              <w:bottom w:val="single" w:sz="2" w:space="0" w:color="857E5B"/>
              <w:right w:val="single" w:sz="2" w:space="0" w:color="857E5B"/>
            </w:tcBorders>
            <w:shd w:val="clear" w:color="auto" w:fill="EAEADE"/>
            <w:tcMar>
              <w:top w:w="90" w:type="dxa"/>
              <w:left w:w="90" w:type="dxa"/>
              <w:bottom w:w="90" w:type="dxa"/>
              <w:right w:w="90" w:type="dxa"/>
            </w:tcMar>
            <w:hideMark/>
          </w:tcPr>
          <w:p w:rsidR="0071120A" w:rsidRPr="0071120A" w:rsidRDefault="0071120A" w:rsidP="0071120A">
            <w:pPr>
              <w:spacing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 xml:space="preserve">Attainable </w:t>
            </w:r>
          </w:p>
        </w:tc>
        <w:tc>
          <w:tcPr>
            <w:tcW w:w="6675" w:type="dxa"/>
            <w:tcBorders>
              <w:top w:val="single" w:sz="2" w:space="0" w:color="857E5B"/>
              <w:left w:val="single" w:sz="2" w:space="0" w:color="857E5B"/>
              <w:bottom w:val="single" w:sz="2" w:space="0" w:color="857E5B"/>
              <w:right w:val="single" w:sz="2" w:space="0" w:color="857E5B"/>
            </w:tcBorders>
            <w:shd w:val="clear" w:color="auto" w:fill="EAEADE"/>
            <w:tcMar>
              <w:top w:w="90" w:type="dxa"/>
              <w:left w:w="90" w:type="dxa"/>
              <w:bottom w:w="90" w:type="dxa"/>
              <w:right w:w="90" w:type="dxa"/>
            </w:tcMar>
            <w:hideMark/>
          </w:tcPr>
          <w:p w:rsidR="0071120A" w:rsidRPr="0071120A" w:rsidRDefault="0071120A" w:rsidP="0071120A">
            <w:pPr>
              <w:numPr>
                <w:ilvl w:val="0"/>
                <w:numId w:val="3"/>
              </w:numPr>
              <w:spacing w:before="100" w:beforeAutospacing="1"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A goal needs to be something the client believes is possible based on available resources (time, money, and people power).</w:t>
            </w:r>
          </w:p>
          <w:p w:rsidR="0071120A" w:rsidRPr="0071120A" w:rsidRDefault="0071120A" w:rsidP="0071120A">
            <w:pPr>
              <w:numPr>
                <w:ilvl w:val="0"/>
                <w:numId w:val="3"/>
              </w:numPr>
              <w:spacing w:before="100" w:beforeAutospacing="1"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Establishing a series of small goals helps clients experience success.</w:t>
            </w:r>
          </w:p>
          <w:p w:rsidR="0071120A" w:rsidRPr="0071120A" w:rsidRDefault="0071120A" w:rsidP="0071120A">
            <w:pPr>
              <w:numPr>
                <w:ilvl w:val="0"/>
                <w:numId w:val="3"/>
              </w:numPr>
              <w:spacing w:before="100" w:beforeAutospacing="1"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The amount of change defined in the goal should seem attainable to the client and practitioner.</w:t>
            </w:r>
          </w:p>
          <w:p w:rsidR="0071120A" w:rsidRPr="0071120A" w:rsidRDefault="0071120A" w:rsidP="0071120A">
            <w:pPr>
              <w:numPr>
                <w:ilvl w:val="0"/>
                <w:numId w:val="3"/>
              </w:numPr>
              <w:spacing w:before="100" w:beforeAutospacing="1"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Unattainable goals involve changing another person.</w:t>
            </w:r>
          </w:p>
          <w:p w:rsidR="0071120A" w:rsidRPr="0071120A" w:rsidRDefault="0071120A" w:rsidP="0071120A">
            <w:pPr>
              <w:numPr>
                <w:ilvl w:val="0"/>
                <w:numId w:val="3"/>
              </w:numPr>
              <w:spacing w:before="100" w:beforeAutospacing="1"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Time determined to reach the goal must be relatively close to the client's decision to make a change.</w:t>
            </w:r>
          </w:p>
          <w:p w:rsidR="0071120A" w:rsidRPr="0071120A" w:rsidRDefault="0071120A" w:rsidP="0071120A">
            <w:pPr>
              <w:numPr>
                <w:ilvl w:val="0"/>
                <w:numId w:val="3"/>
              </w:numPr>
              <w:spacing w:before="100" w:beforeAutospacing="1"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 xml:space="preserve">Clients who participate in setting goals are more likely to believe goals are achievable. </w:t>
            </w:r>
          </w:p>
          <w:p w:rsidR="0071120A" w:rsidRPr="0071120A" w:rsidRDefault="0071120A" w:rsidP="0071120A">
            <w:pPr>
              <w:numPr>
                <w:ilvl w:val="0"/>
                <w:numId w:val="3"/>
              </w:numPr>
              <w:spacing w:before="100" w:beforeAutospacing="1"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Goals should be visualized in concrete, specific, behavioral terms.</w:t>
            </w:r>
          </w:p>
        </w:tc>
      </w:tr>
      <w:tr w:rsidR="0071120A" w:rsidRPr="0071120A" w:rsidTr="0071120A">
        <w:tc>
          <w:tcPr>
            <w:tcW w:w="2175" w:type="dxa"/>
            <w:tcBorders>
              <w:top w:val="single" w:sz="2" w:space="0" w:color="857E5B"/>
              <w:left w:val="single" w:sz="2" w:space="0" w:color="857E5B"/>
              <w:bottom w:val="single" w:sz="2" w:space="0" w:color="857E5B"/>
              <w:right w:val="single" w:sz="2" w:space="0" w:color="857E5B"/>
            </w:tcBorders>
            <w:shd w:val="clear" w:color="auto" w:fill="EAEADE"/>
            <w:tcMar>
              <w:top w:w="90" w:type="dxa"/>
              <w:left w:w="90" w:type="dxa"/>
              <w:bottom w:w="90" w:type="dxa"/>
              <w:right w:w="90" w:type="dxa"/>
            </w:tcMar>
            <w:hideMark/>
          </w:tcPr>
          <w:p w:rsidR="0071120A" w:rsidRPr="0071120A" w:rsidRDefault="0071120A" w:rsidP="0071120A">
            <w:pPr>
              <w:spacing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 xml:space="preserve">Positive </w:t>
            </w:r>
          </w:p>
        </w:tc>
        <w:tc>
          <w:tcPr>
            <w:tcW w:w="6675" w:type="dxa"/>
            <w:tcBorders>
              <w:top w:val="single" w:sz="2" w:space="0" w:color="857E5B"/>
              <w:left w:val="single" w:sz="2" w:space="0" w:color="857E5B"/>
              <w:bottom w:val="single" w:sz="2" w:space="0" w:color="857E5B"/>
              <w:right w:val="single" w:sz="2" w:space="0" w:color="857E5B"/>
            </w:tcBorders>
            <w:shd w:val="clear" w:color="auto" w:fill="EAEADE"/>
            <w:tcMar>
              <w:top w:w="90" w:type="dxa"/>
              <w:left w:w="90" w:type="dxa"/>
              <w:bottom w:w="90" w:type="dxa"/>
              <w:right w:w="90" w:type="dxa"/>
            </w:tcMar>
            <w:hideMark/>
          </w:tcPr>
          <w:p w:rsidR="0071120A" w:rsidRPr="0071120A" w:rsidRDefault="0071120A" w:rsidP="0071120A">
            <w:pPr>
              <w:numPr>
                <w:ilvl w:val="0"/>
                <w:numId w:val="4"/>
              </w:numPr>
              <w:spacing w:before="100" w:beforeAutospacing="1"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A positive goal keeps the focus on what the client wants to do rather than what client doesn't want to do.</w:t>
            </w:r>
          </w:p>
          <w:p w:rsidR="0071120A" w:rsidRPr="0071120A" w:rsidRDefault="0071120A" w:rsidP="0071120A">
            <w:pPr>
              <w:numPr>
                <w:ilvl w:val="0"/>
                <w:numId w:val="4"/>
              </w:numPr>
              <w:spacing w:before="100" w:beforeAutospacing="1"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Practitioners can use open-ended questions to help clients think in positive terms.</w:t>
            </w:r>
          </w:p>
        </w:tc>
      </w:tr>
    </w:tbl>
    <w:p w:rsidR="0071120A" w:rsidRPr="0071120A" w:rsidRDefault="0071120A" w:rsidP="0071120A">
      <w:pPr>
        <w:shd w:val="clear" w:color="auto" w:fill="FFFFFF"/>
        <w:spacing w:after="0" w:line="240" w:lineRule="auto"/>
        <w:rPr>
          <w:rFonts w:ascii="Times New Roman" w:eastAsia="Times New Roman" w:hAnsi="Times New Roman" w:cs="Times New Roman"/>
          <w:color w:val="000000"/>
          <w:sz w:val="24"/>
          <w:szCs w:val="24"/>
        </w:rPr>
      </w:pPr>
      <w:r w:rsidRPr="0071120A">
        <w:rPr>
          <w:rFonts w:ascii="Times New Roman" w:eastAsia="Times New Roman" w:hAnsi="Times New Roman" w:cs="Times New Roman"/>
          <w:color w:val="000000"/>
          <w:sz w:val="24"/>
          <w:szCs w:val="24"/>
        </w:rPr>
        <w:br/>
      </w:r>
    </w:p>
    <w:p w:rsidR="0071120A" w:rsidRPr="0071120A" w:rsidRDefault="0071120A" w:rsidP="0071120A">
      <w:pPr>
        <w:shd w:val="clear" w:color="auto" w:fill="FFFFFF"/>
        <w:spacing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When you help clients move from general to specific goals, you accomplish two things:</w:t>
      </w:r>
    </w:p>
    <w:p w:rsidR="0071120A" w:rsidRPr="0071120A" w:rsidRDefault="0071120A" w:rsidP="0071120A">
      <w:pPr>
        <w:numPr>
          <w:ilvl w:val="0"/>
          <w:numId w:val="5"/>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71120A">
        <w:rPr>
          <w:rFonts w:ascii="Arial" w:eastAsia="Times New Roman" w:hAnsi="Arial" w:cs="Arial"/>
          <w:color w:val="555753"/>
          <w:sz w:val="20"/>
          <w:szCs w:val="20"/>
        </w:rPr>
        <w:t>Establishing clear goals lays the foundation for the action phase of the work.</w:t>
      </w:r>
    </w:p>
    <w:p w:rsidR="0071120A" w:rsidRPr="0071120A" w:rsidRDefault="0071120A" w:rsidP="0071120A">
      <w:pPr>
        <w:numPr>
          <w:ilvl w:val="0"/>
          <w:numId w:val="5"/>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71120A">
        <w:rPr>
          <w:rFonts w:ascii="Arial" w:eastAsia="Times New Roman" w:hAnsi="Arial" w:cs="Arial"/>
          <w:color w:val="555753"/>
          <w:sz w:val="20"/>
          <w:szCs w:val="20"/>
        </w:rPr>
        <w:lastRenderedPageBreak/>
        <w:t>Doing so limits confusion about the desired end goal.</w:t>
      </w:r>
    </w:p>
    <w:p w:rsidR="0071120A" w:rsidRPr="0071120A" w:rsidRDefault="0071120A" w:rsidP="0071120A">
      <w:pPr>
        <w:shd w:val="clear" w:color="auto" w:fill="FFFFFF"/>
        <w:spacing w:after="270" w:line="240" w:lineRule="auto"/>
        <w:outlineLvl w:val="1"/>
        <w:rPr>
          <w:rFonts w:ascii="Arial" w:eastAsia="Times New Roman" w:hAnsi="Arial" w:cs="Arial"/>
          <w:b/>
          <w:bCs/>
          <w:color w:val="963823"/>
          <w:sz w:val="21"/>
          <w:szCs w:val="21"/>
        </w:rPr>
      </w:pPr>
      <w:r w:rsidRPr="0071120A">
        <w:rPr>
          <w:rFonts w:ascii="Arial" w:eastAsia="Times New Roman" w:hAnsi="Arial" w:cs="Arial"/>
          <w:b/>
          <w:bCs/>
          <w:color w:val="963823"/>
          <w:sz w:val="21"/>
          <w:szCs w:val="21"/>
        </w:rPr>
        <w:t>MAPS Example</w:t>
      </w:r>
    </w:p>
    <w:p w:rsidR="0071120A" w:rsidRPr="0071120A" w:rsidRDefault="0071120A" w:rsidP="0071120A">
      <w:pPr>
        <w:shd w:val="clear" w:color="auto" w:fill="FFFFFF"/>
        <w:spacing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 xml:space="preserve">Your client tells you that she wants to be nicer to her sister. </w:t>
      </w:r>
    </w:p>
    <w:p w:rsidR="0071120A" w:rsidRPr="0071120A" w:rsidRDefault="0071120A" w:rsidP="0071120A">
      <w:pPr>
        <w:shd w:val="clear" w:color="auto" w:fill="FFFFFF"/>
        <w:spacing w:after="100" w:afterAutospacing="1" w:line="270" w:lineRule="atLeast"/>
        <w:rPr>
          <w:rFonts w:ascii="Arial" w:eastAsia="Times New Roman" w:hAnsi="Arial" w:cs="Arial"/>
          <w:color w:val="555753"/>
          <w:sz w:val="20"/>
          <w:szCs w:val="20"/>
        </w:rPr>
      </w:pPr>
      <w:r w:rsidRPr="0071120A">
        <w:rPr>
          <w:rFonts w:ascii="Arial" w:eastAsia="Times New Roman" w:hAnsi="Arial" w:cs="Arial"/>
          <w:color w:val="555753"/>
          <w:sz w:val="20"/>
          <w:szCs w:val="20"/>
        </w:rPr>
        <w:t>Possible MAPS goals are:</w:t>
      </w:r>
    </w:p>
    <w:p w:rsidR="0071120A" w:rsidRPr="0071120A" w:rsidRDefault="0071120A" w:rsidP="0071120A">
      <w:pPr>
        <w:numPr>
          <w:ilvl w:val="0"/>
          <w:numId w:val="6"/>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71120A">
        <w:rPr>
          <w:rFonts w:ascii="Arial" w:eastAsia="Times New Roman" w:hAnsi="Arial" w:cs="Arial"/>
          <w:color w:val="555753"/>
          <w:sz w:val="20"/>
          <w:szCs w:val="20"/>
        </w:rPr>
        <w:t>Sharing three toys with her sister every week</w:t>
      </w:r>
    </w:p>
    <w:p w:rsidR="0071120A" w:rsidRPr="0071120A" w:rsidRDefault="0071120A" w:rsidP="0071120A">
      <w:pPr>
        <w:numPr>
          <w:ilvl w:val="0"/>
          <w:numId w:val="6"/>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71120A">
        <w:rPr>
          <w:rFonts w:ascii="Arial" w:eastAsia="Times New Roman" w:hAnsi="Arial" w:cs="Arial"/>
          <w:color w:val="555753"/>
          <w:sz w:val="20"/>
          <w:szCs w:val="20"/>
        </w:rPr>
        <w:t>Letting her sister watch her favorite television show on Tuesdays at 5 PM</w:t>
      </w:r>
    </w:p>
    <w:p w:rsidR="0071120A" w:rsidRPr="0071120A" w:rsidRDefault="0071120A" w:rsidP="0071120A">
      <w:pPr>
        <w:numPr>
          <w:ilvl w:val="0"/>
          <w:numId w:val="6"/>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71120A">
        <w:rPr>
          <w:rFonts w:ascii="Arial" w:eastAsia="Times New Roman" w:hAnsi="Arial" w:cs="Arial"/>
          <w:color w:val="555753"/>
          <w:sz w:val="20"/>
          <w:szCs w:val="20"/>
        </w:rPr>
        <w:t>Saying one nice thing about her sister every day</w:t>
      </w:r>
    </w:p>
    <w:p w:rsidR="00687798" w:rsidRPr="0071120A" w:rsidRDefault="00687798" w:rsidP="0071120A">
      <w:bookmarkStart w:id="0" w:name="_GoBack"/>
      <w:bookmarkEnd w:id="0"/>
    </w:p>
    <w:sectPr w:rsidR="00687798" w:rsidRPr="007112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881B7E"/>
    <w:multiLevelType w:val="multilevel"/>
    <w:tmpl w:val="D7883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0C3DA5"/>
    <w:multiLevelType w:val="multilevel"/>
    <w:tmpl w:val="6784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AC2427"/>
    <w:multiLevelType w:val="multilevel"/>
    <w:tmpl w:val="5D0AB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8A21241"/>
    <w:multiLevelType w:val="multilevel"/>
    <w:tmpl w:val="0FA80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043E0C"/>
    <w:multiLevelType w:val="multilevel"/>
    <w:tmpl w:val="4A46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D6463A"/>
    <w:multiLevelType w:val="multilevel"/>
    <w:tmpl w:val="C74A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bSwNDc3MzUxsTQ2MDBS0lEKTi0uzszPAykwqgUAwct3riwAAAA="/>
  </w:docVars>
  <w:rsids>
    <w:rsidRoot w:val="00687798"/>
    <w:rsid w:val="00687798"/>
    <w:rsid w:val="0071120A"/>
    <w:rsid w:val="00915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DF4E4E-4A3C-4FC5-885F-3EE8BEE3E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rsid w:val="006877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1">
    <w:name w:val="Header1"/>
    <w:basedOn w:val="Normal"/>
    <w:rsid w:val="0068779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877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header">
    <w:name w:val="subheader"/>
    <w:basedOn w:val="Normal"/>
    <w:rsid w:val="006877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375535">
      <w:bodyDiv w:val="1"/>
      <w:marLeft w:val="0"/>
      <w:marRight w:val="0"/>
      <w:marTop w:val="0"/>
      <w:marBottom w:val="0"/>
      <w:divBdr>
        <w:top w:val="none" w:sz="0" w:space="0" w:color="auto"/>
        <w:left w:val="none" w:sz="0" w:space="0" w:color="auto"/>
        <w:bottom w:val="none" w:sz="0" w:space="0" w:color="auto"/>
        <w:right w:val="none" w:sz="0" w:space="0" w:color="auto"/>
      </w:divBdr>
      <w:divsChild>
        <w:div w:id="1264679410">
          <w:marLeft w:val="0"/>
          <w:marRight w:val="0"/>
          <w:marTop w:val="300"/>
          <w:marBottom w:val="300"/>
          <w:divBdr>
            <w:top w:val="none" w:sz="0" w:space="0" w:color="auto"/>
            <w:left w:val="none" w:sz="0" w:space="0" w:color="auto"/>
            <w:bottom w:val="none" w:sz="0" w:space="0" w:color="auto"/>
            <w:right w:val="none" w:sz="0" w:space="0" w:color="auto"/>
          </w:divBdr>
        </w:div>
        <w:div w:id="538861162">
          <w:marLeft w:val="300"/>
          <w:marRight w:val="300"/>
          <w:marTop w:val="300"/>
          <w:marBottom w:val="300"/>
          <w:divBdr>
            <w:top w:val="none" w:sz="0" w:space="0" w:color="auto"/>
            <w:left w:val="none" w:sz="0" w:space="0" w:color="auto"/>
            <w:bottom w:val="none" w:sz="0" w:space="0" w:color="auto"/>
            <w:right w:val="none" w:sz="0" w:space="0" w:color="auto"/>
          </w:divBdr>
        </w:div>
      </w:divsChild>
    </w:div>
    <w:div w:id="725839292">
      <w:bodyDiv w:val="1"/>
      <w:marLeft w:val="0"/>
      <w:marRight w:val="0"/>
      <w:marTop w:val="0"/>
      <w:marBottom w:val="0"/>
      <w:divBdr>
        <w:top w:val="none" w:sz="0" w:space="0" w:color="auto"/>
        <w:left w:val="none" w:sz="0" w:space="0" w:color="auto"/>
        <w:bottom w:val="none" w:sz="0" w:space="0" w:color="auto"/>
        <w:right w:val="none" w:sz="0" w:space="0" w:color="auto"/>
      </w:divBdr>
      <w:divsChild>
        <w:div w:id="2144499506">
          <w:marLeft w:val="0"/>
          <w:marRight w:val="0"/>
          <w:marTop w:val="300"/>
          <w:marBottom w:val="300"/>
          <w:divBdr>
            <w:top w:val="none" w:sz="0" w:space="0" w:color="auto"/>
            <w:left w:val="none" w:sz="0" w:space="0" w:color="auto"/>
            <w:bottom w:val="none" w:sz="0" w:space="0" w:color="auto"/>
            <w:right w:val="none" w:sz="0" w:space="0" w:color="auto"/>
          </w:divBdr>
        </w:div>
        <w:div w:id="1535146133">
          <w:marLeft w:val="300"/>
          <w:marRight w:val="300"/>
          <w:marTop w:val="300"/>
          <w:marBottom w:val="300"/>
          <w:divBdr>
            <w:top w:val="none" w:sz="0" w:space="0" w:color="auto"/>
            <w:left w:val="none" w:sz="0" w:space="0" w:color="auto"/>
            <w:bottom w:val="none" w:sz="0" w:space="0" w:color="auto"/>
            <w:right w:val="none" w:sz="0" w:space="0" w:color="auto"/>
          </w:divBdr>
        </w:div>
      </w:divsChild>
    </w:div>
    <w:div w:id="73952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Z. Perez</dc:creator>
  <cp:keywords/>
  <dc:description/>
  <cp:lastModifiedBy>Mara Z. Perez</cp:lastModifiedBy>
  <cp:revision>2</cp:revision>
  <dcterms:created xsi:type="dcterms:W3CDTF">2018-01-08T15:09:00Z</dcterms:created>
  <dcterms:modified xsi:type="dcterms:W3CDTF">2018-01-08T15:34:00Z</dcterms:modified>
</cp:coreProperties>
</file>