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15EE" w:rsidRPr="00351080" w:rsidRDefault="008C15EE" w:rsidP="006E19F2">
      <w:pPr>
        <w:spacing w:after="0" w:line="480" w:lineRule="auto"/>
        <w:rPr>
          <w:rFonts w:ascii="Times New Roman" w:hAnsi="Times New Roman" w:cs="Times New Roman"/>
          <w:sz w:val="24"/>
          <w:szCs w:val="24"/>
        </w:rPr>
      </w:pPr>
    </w:p>
    <w:p w:rsidR="008C15EE" w:rsidRPr="00351080" w:rsidRDefault="008C15EE" w:rsidP="006E19F2">
      <w:pPr>
        <w:spacing w:after="0" w:line="480" w:lineRule="auto"/>
        <w:rPr>
          <w:rFonts w:ascii="Times New Roman" w:hAnsi="Times New Roman" w:cs="Times New Roman"/>
          <w:sz w:val="24"/>
          <w:szCs w:val="24"/>
        </w:rPr>
      </w:pPr>
    </w:p>
    <w:p w:rsidR="008C15EE" w:rsidRPr="00351080" w:rsidRDefault="008C15EE" w:rsidP="006E19F2">
      <w:pPr>
        <w:spacing w:after="0" w:line="480" w:lineRule="auto"/>
        <w:rPr>
          <w:rFonts w:ascii="Times New Roman" w:hAnsi="Times New Roman" w:cs="Times New Roman"/>
          <w:sz w:val="24"/>
          <w:szCs w:val="24"/>
        </w:rPr>
      </w:pPr>
    </w:p>
    <w:p w:rsidR="008C15EE" w:rsidRPr="00351080" w:rsidRDefault="008C15EE" w:rsidP="006E19F2">
      <w:pPr>
        <w:spacing w:after="0" w:line="480" w:lineRule="auto"/>
        <w:rPr>
          <w:rFonts w:ascii="Times New Roman" w:hAnsi="Times New Roman" w:cs="Times New Roman"/>
          <w:sz w:val="24"/>
          <w:szCs w:val="24"/>
        </w:rPr>
      </w:pPr>
    </w:p>
    <w:p w:rsidR="007F76C0" w:rsidRPr="00351080" w:rsidRDefault="00E13078" w:rsidP="006E19F2">
      <w:pPr>
        <w:spacing w:after="0" w:line="480" w:lineRule="auto"/>
        <w:jc w:val="center"/>
        <w:rPr>
          <w:rFonts w:ascii="Times New Roman" w:hAnsi="Times New Roman" w:cs="Times New Roman"/>
          <w:sz w:val="24"/>
          <w:szCs w:val="24"/>
        </w:rPr>
      </w:pPr>
      <w:r w:rsidRPr="00351080">
        <w:rPr>
          <w:rFonts w:ascii="Times New Roman" w:hAnsi="Times New Roman" w:cs="Times New Roman"/>
          <w:sz w:val="24"/>
          <w:szCs w:val="24"/>
        </w:rPr>
        <w:t>Apple, Inc.</w:t>
      </w:r>
      <w:r w:rsidR="00820180" w:rsidRPr="00351080">
        <w:rPr>
          <w:rFonts w:ascii="Times New Roman" w:hAnsi="Times New Roman" w:cs="Times New Roman"/>
          <w:sz w:val="24"/>
          <w:szCs w:val="24"/>
        </w:rPr>
        <w:t xml:space="preserve"> Financial Analysis</w:t>
      </w:r>
    </w:p>
    <w:p w:rsidR="00321DED" w:rsidRPr="00351080" w:rsidRDefault="00E13078" w:rsidP="006E19F2">
      <w:pPr>
        <w:spacing w:after="0" w:line="480" w:lineRule="auto"/>
        <w:jc w:val="center"/>
        <w:rPr>
          <w:rFonts w:ascii="Times New Roman" w:hAnsi="Times New Roman" w:cs="Times New Roman"/>
          <w:sz w:val="24"/>
          <w:szCs w:val="24"/>
        </w:rPr>
      </w:pPr>
      <w:r w:rsidRPr="00351080">
        <w:rPr>
          <w:rFonts w:ascii="Times New Roman" w:hAnsi="Times New Roman" w:cs="Times New Roman"/>
          <w:sz w:val="24"/>
          <w:szCs w:val="24"/>
        </w:rPr>
        <w:t xml:space="preserve">Name </w:t>
      </w:r>
    </w:p>
    <w:p w:rsidR="00820180" w:rsidRPr="00351080" w:rsidRDefault="00820180" w:rsidP="006E19F2">
      <w:pPr>
        <w:spacing w:after="0" w:line="480" w:lineRule="auto"/>
        <w:jc w:val="center"/>
        <w:rPr>
          <w:rFonts w:ascii="Times New Roman" w:hAnsi="Times New Roman" w:cs="Times New Roman"/>
          <w:sz w:val="24"/>
          <w:szCs w:val="24"/>
        </w:rPr>
      </w:pPr>
      <w:r w:rsidRPr="00351080">
        <w:rPr>
          <w:rFonts w:ascii="Times New Roman" w:hAnsi="Times New Roman" w:cs="Times New Roman"/>
          <w:sz w:val="24"/>
          <w:szCs w:val="24"/>
        </w:rPr>
        <w:t xml:space="preserve">Course </w:t>
      </w:r>
    </w:p>
    <w:p w:rsidR="00820180" w:rsidRPr="00351080" w:rsidRDefault="00820180" w:rsidP="006E19F2">
      <w:pPr>
        <w:spacing w:after="0" w:line="480" w:lineRule="auto"/>
        <w:jc w:val="center"/>
        <w:rPr>
          <w:rFonts w:ascii="Times New Roman" w:hAnsi="Times New Roman" w:cs="Times New Roman"/>
          <w:sz w:val="24"/>
          <w:szCs w:val="24"/>
        </w:rPr>
      </w:pPr>
      <w:r w:rsidRPr="00351080">
        <w:rPr>
          <w:rFonts w:ascii="Times New Roman" w:hAnsi="Times New Roman" w:cs="Times New Roman"/>
          <w:sz w:val="24"/>
          <w:szCs w:val="24"/>
        </w:rPr>
        <w:t xml:space="preserve">Tutor </w:t>
      </w:r>
    </w:p>
    <w:p w:rsidR="00820180" w:rsidRPr="00351080" w:rsidRDefault="00820180" w:rsidP="006E19F2">
      <w:pPr>
        <w:spacing w:after="0" w:line="480" w:lineRule="auto"/>
        <w:jc w:val="center"/>
        <w:rPr>
          <w:rFonts w:ascii="Times New Roman" w:hAnsi="Times New Roman" w:cs="Times New Roman"/>
          <w:sz w:val="24"/>
          <w:szCs w:val="24"/>
        </w:rPr>
      </w:pPr>
      <w:r w:rsidRPr="00351080">
        <w:rPr>
          <w:rFonts w:ascii="Times New Roman" w:hAnsi="Times New Roman" w:cs="Times New Roman"/>
          <w:sz w:val="24"/>
          <w:szCs w:val="24"/>
        </w:rPr>
        <w:t xml:space="preserve">Date </w:t>
      </w:r>
    </w:p>
    <w:p w:rsidR="008C15EE" w:rsidRPr="00351080" w:rsidRDefault="008C15EE" w:rsidP="006E19F2">
      <w:pPr>
        <w:spacing w:after="0" w:line="480" w:lineRule="auto"/>
        <w:jc w:val="center"/>
        <w:rPr>
          <w:rFonts w:ascii="Times New Roman" w:hAnsi="Times New Roman" w:cs="Times New Roman"/>
          <w:b/>
          <w:sz w:val="24"/>
          <w:szCs w:val="24"/>
        </w:rPr>
      </w:pPr>
    </w:p>
    <w:p w:rsidR="008C15EE" w:rsidRPr="00351080" w:rsidRDefault="008C15EE" w:rsidP="006E19F2">
      <w:pPr>
        <w:spacing w:after="0" w:line="480" w:lineRule="auto"/>
        <w:jc w:val="center"/>
        <w:rPr>
          <w:rFonts w:ascii="Times New Roman" w:hAnsi="Times New Roman" w:cs="Times New Roman"/>
          <w:b/>
          <w:sz w:val="24"/>
          <w:szCs w:val="24"/>
        </w:rPr>
      </w:pPr>
    </w:p>
    <w:p w:rsidR="008C15EE" w:rsidRPr="00351080" w:rsidRDefault="008C15EE" w:rsidP="006E19F2">
      <w:pPr>
        <w:spacing w:after="0" w:line="480" w:lineRule="auto"/>
        <w:jc w:val="center"/>
        <w:rPr>
          <w:rFonts w:ascii="Times New Roman" w:hAnsi="Times New Roman" w:cs="Times New Roman"/>
          <w:b/>
          <w:sz w:val="24"/>
          <w:szCs w:val="24"/>
        </w:rPr>
      </w:pPr>
    </w:p>
    <w:p w:rsidR="008C15EE" w:rsidRPr="00351080" w:rsidRDefault="008C15EE" w:rsidP="006E19F2">
      <w:pPr>
        <w:spacing w:after="0" w:line="480" w:lineRule="auto"/>
        <w:jc w:val="center"/>
        <w:rPr>
          <w:rFonts w:ascii="Times New Roman" w:hAnsi="Times New Roman" w:cs="Times New Roman"/>
          <w:b/>
          <w:sz w:val="24"/>
          <w:szCs w:val="24"/>
        </w:rPr>
      </w:pPr>
    </w:p>
    <w:p w:rsidR="008C15EE" w:rsidRPr="00351080" w:rsidRDefault="008C15EE" w:rsidP="006E19F2">
      <w:pPr>
        <w:spacing w:after="0" w:line="480" w:lineRule="auto"/>
        <w:jc w:val="center"/>
        <w:rPr>
          <w:rFonts w:ascii="Times New Roman" w:hAnsi="Times New Roman" w:cs="Times New Roman"/>
          <w:b/>
          <w:sz w:val="24"/>
          <w:szCs w:val="24"/>
        </w:rPr>
      </w:pPr>
    </w:p>
    <w:p w:rsidR="008C15EE" w:rsidRPr="00351080" w:rsidRDefault="008C15EE" w:rsidP="006E19F2">
      <w:pPr>
        <w:spacing w:after="0" w:line="480" w:lineRule="auto"/>
        <w:jc w:val="center"/>
        <w:rPr>
          <w:rFonts w:ascii="Times New Roman" w:hAnsi="Times New Roman" w:cs="Times New Roman"/>
          <w:b/>
          <w:sz w:val="24"/>
          <w:szCs w:val="24"/>
        </w:rPr>
      </w:pPr>
    </w:p>
    <w:p w:rsidR="008C15EE" w:rsidRPr="00351080" w:rsidRDefault="008C15EE" w:rsidP="006E19F2">
      <w:pPr>
        <w:spacing w:after="0" w:line="480" w:lineRule="auto"/>
        <w:jc w:val="center"/>
        <w:rPr>
          <w:rFonts w:ascii="Times New Roman" w:hAnsi="Times New Roman" w:cs="Times New Roman"/>
          <w:b/>
          <w:sz w:val="24"/>
          <w:szCs w:val="24"/>
        </w:rPr>
      </w:pPr>
    </w:p>
    <w:p w:rsidR="00526957" w:rsidRPr="00351080" w:rsidRDefault="00526957" w:rsidP="006E19F2">
      <w:pPr>
        <w:spacing w:line="480" w:lineRule="auto"/>
        <w:rPr>
          <w:rFonts w:ascii="Times New Roman" w:hAnsi="Times New Roman" w:cs="Times New Roman"/>
          <w:b/>
          <w:sz w:val="24"/>
          <w:szCs w:val="24"/>
        </w:rPr>
      </w:pPr>
      <w:r w:rsidRPr="00351080">
        <w:rPr>
          <w:rFonts w:ascii="Times New Roman" w:hAnsi="Times New Roman" w:cs="Times New Roman"/>
          <w:b/>
          <w:sz w:val="24"/>
          <w:szCs w:val="24"/>
        </w:rPr>
        <w:br w:type="page"/>
      </w:r>
    </w:p>
    <w:p w:rsidR="00684F3B" w:rsidRPr="00351080" w:rsidRDefault="00684F3B" w:rsidP="006E19F2">
      <w:pPr>
        <w:spacing w:after="0" w:line="480" w:lineRule="auto"/>
        <w:rPr>
          <w:rFonts w:ascii="Times New Roman" w:hAnsi="Times New Roman" w:cs="Times New Roman"/>
          <w:b/>
          <w:sz w:val="24"/>
          <w:szCs w:val="24"/>
        </w:rPr>
      </w:pPr>
      <w:r w:rsidRPr="00351080">
        <w:rPr>
          <w:rFonts w:ascii="Times New Roman" w:hAnsi="Times New Roman" w:cs="Times New Roman"/>
          <w:b/>
          <w:sz w:val="24"/>
          <w:szCs w:val="24"/>
        </w:rPr>
        <w:lastRenderedPageBreak/>
        <w:t>Introduction</w:t>
      </w:r>
    </w:p>
    <w:p w:rsidR="004C20AD" w:rsidRPr="00351080" w:rsidRDefault="00820180" w:rsidP="006E19F2">
      <w:pPr>
        <w:spacing w:after="0" w:line="480" w:lineRule="auto"/>
        <w:ind w:firstLine="1440"/>
        <w:rPr>
          <w:rFonts w:ascii="Times New Roman" w:hAnsi="Times New Roman" w:cs="Times New Roman"/>
          <w:sz w:val="24"/>
          <w:szCs w:val="24"/>
        </w:rPr>
      </w:pPr>
      <w:r w:rsidRPr="00351080">
        <w:rPr>
          <w:rFonts w:ascii="Times New Roman" w:hAnsi="Times New Roman" w:cs="Times New Roman"/>
          <w:sz w:val="24"/>
          <w:szCs w:val="24"/>
        </w:rPr>
        <w:t xml:space="preserve">Long term assets </w:t>
      </w:r>
      <w:r w:rsidR="004775C1">
        <w:rPr>
          <w:rFonts w:ascii="Times New Roman" w:hAnsi="Times New Roman" w:cs="Times New Roman"/>
          <w:sz w:val="24"/>
          <w:szCs w:val="24"/>
        </w:rPr>
        <w:t>play</w:t>
      </w:r>
      <w:r w:rsidRPr="00351080">
        <w:rPr>
          <w:rFonts w:ascii="Times New Roman" w:hAnsi="Times New Roman" w:cs="Times New Roman"/>
          <w:sz w:val="24"/>
          <w:szCs w:val="24"/>
        </w:rPr>
        <w:t xml:space="preserve"> a crucial part in the performance of any business operation. Such assets include property, goodwill, plant and equipments, and leaseholds among others. The long term assets are also very important in increasing the revenues of the company. In the balance sheet, the long term assets are shown under the heading “non- current assets”. Depreciation of such assets is charged for to decrease the value </w:t>
      </w:r>
      <w:r w:rsidR="004C20AD" w:rsidRPr="00351080">
        <w:rPr>
          <w:rFonts w:ascii="Times New Roman" w:hAnsi="Times New Roman" w:cs="Times New Roman"/>
          <w:sz w:val="24"/>
          <w:szCs w:val="24"/>
        </w:rPr>
        <w:t xml:space="preserve">based on the time that the asset has being in use. Some of the long term assets are impaired from loss. This paper seeks to focus on the costs and book value f property, plant and equipment, and other long term assets of Apple Inc. the paper also addresses the method of depreciation applied by the company on its assets as well as the expenses incurred during the purchase of these assets. Below is an accounting overview of the intangible assets of </w:t>
      </w:r>
      <w:r w:rsidR="004C20AD" w:rsidRPr="00351080">
        <w:rPr>
          <w:rFonts w:ascii="Times New Roman" w:hAnsi="Times New Roman" w:cs="Times New Roman"/>
          <w:caps/>
          <w:sz w:val="24"/>
          <w:szCs w:val="24"/>
        </w:rPr>
        <w:t>A</w:t>
      </w:r>
      <w:r w:rsidR="004C20AD" w:rsidRPr="00351080">
        <w:rPr>
          <w:rFonts w:ascii="Times New Roman" w:hAnsi="Times New Roman" w:cs="Times New Roman"/>
          <w:sz w:val="24"/>
          <w:szCs w:val="24"/>
        </w:rPr>
        <w:t xml:space="preserve">pple Inc. </w:t>
      </w:r>
    </w:p>
    <w:p w:rsidR="00684F3B" w:rsidRPr="00351080" w:rsidRDefault="00526957" w:rsidP="006E19F2">
      <w:pPr>
        <w:spacing w:after="0" w:line="480" w:lineRule="auto"/>
        <w:rPr>
          <w:rFonts w:ascii="Times New Roman" w:hAnsi="Times New Roman" w:cs="Times New Roman"/>
          <w:b/>
          <w:sz w:val="24"/>
          <w:szCs w:val="24"/>
        </w:rPr>
      </w:pPr>
      <w:r w:rsidRPr="00351080">
        <w:rPr>
          <w:rFonts w:ascii="Times New Roman" w:hAnsi="Times New Roman" w:cs="Times New Roman"/>
          <w:b/>
          <w:sz w:val="24"/>
          <w:szCs w:val="24"/>
        </w:rPr>
        <w:t>PROPERTY, PLANT AND EQUIPMENT</w:t>
      </w:r>
    </w:p>
    <w:p w:rsidR="00B70C81" w:rsidRPr="00351080" w:rsidRDefault="00B70C81" w:rsidP="006E19F2">
      <w:pPr>
        <w:spacing w:after="0" w:line="480" w:lineRule="auto"/>
        <w:rPr>
          <w:rFonts w:ascii="Times New Roman" w:hAnsi="Times New Roman" w:cs="Times New Roman"/>
          <w:b/>
          <w:sz w:val="24"/>
          <w:szCs w:val="24"/>
        </w:rPr>
      </w:pPr>
      <w:r w:rsidRPr="00351080">
        <w:rPr>
          <w:rFonts w:ascii="Times New Roman" w:hAnsi="Times New Roman" w:cs="Times New Roman"/>
          <w:b/>
          <w:sz w:val="24"/>
          <w:szCs w:val="24"/>
        </w:rPr>
        <w:t>Total Cost and Book Value</w:t>
      </w:r>
    </w:p>
    <w:p w:rsidR="00EF3CE0" w:rsidRPr="00351080" w:rsidRDefault="00EF3CE0" w:rsidP="006E19F2">
      <w:pPr>
        <w:spacing w:after="0" w:line="480" w:lineRule="auto"/>
        <w:ind w:firstLine="720"/>
        <w:rPr>
          <w:rFonts w:ascii="Times New Roman" w:hAnsi="Times New Roman" w:cs="Times New Roman"/>
          <w:sz w:val="24"/>
          <w:szCs w:val="24"/>
        </w:rPr>
      </w:pPr>
      <w:r w:rsidRPr="00351080">
        <w:rPr>
          <w:rFonts w:ascii="Times New Roman" w:hAnsi="Times New Roman" w:cs="Times New Roman"/>
          <w:sz w:val="24"/>
          <w:szCs w:val="24"/>
        </w:rPr>
        <w:t xml:space="preserve">The total cost of property, plant and hardware as of September 27, 2014 was $39,015 million. The cost for the monetary year </w:t>
      </w:r>
      <w:r w:rsidR="00526957" w:rsidRPr="00351080">
        <w:rPr>
          <w:rFonts w:ascii="Times New Roman" w:hAnsi="Times New Roman" w:cs="Times New Roman"/>
          <w:sz w:val="24"/>
          <w:szCs w:val="24"/>
        </w:rPr>
        <w:t xml:space="preserve">ended </w:t>
      </w:r>
      <w:r w:rsidRPr="00351080">
        <w:rPr>
          <w:rFonts w:ascii="Times New Roman" w:hAnsi="Times New Roman" w:cs="Times New Roman"/>
          <w:sz w:val="24"/>
          <w:szCs w:val="24"/>
        </w:rPr>
        <w:t xml:space="preserve">September 28, 2013 was $28,519 million. It demonstrates that the property, plant and </w:t>
      </w:r>
      <w:r w:rsidR="00526957" w:rsidRPr="00351080">
        <w:rPr>
          <w:rFonts w:ascii="Times New Roman" w:hAnsi="Times New Roman" w:cs="Times New Roman"/>
          <w:sz w:val="24"/>
          <w:szCs w:val="24"/>
        </w:rPr>
        <w:t>equipment</w:t>
      </w:r>
      <w:r w:rsidRPr="00351080">
        <w:rPr>
          <w:rFonts w:ascii="Times New Roman" w:hAnsi="Times New Roman" w:cs="Times New Roman"/>
          <w:sz w:val="24"/>
          <w:szCs w:val="24"/>
        </w:rPr>
        <w:t xml:space="preserve"> </w:t>
      </w:r>
      <w:r w:rsidR="00526957" w:rsidRPr="00351080">
        <w:rPr>
          <w:rFonts w:ascii="Times New Roman" w:hAnsi="Times New Roman" w:cs="Times New Roman"/>
          <w:sz w:val="24"/>
          <w:szCs w:val="24"/>
        </w:rPr>
        <w:t>increased</w:t>
      </w:r>
      <w:r w:rsidRPr="00351080">
        <w:rPr>
          <w:rFonts w:ascii="Times New Roman" w:hAnsi="Times New Roman" w:cs="Times New Roman"/>
          <w:sz w:val="24"/>
          <w:szCs w:val="24"/>
        </w:rPr>
        <w:t xml:space="preserve"> by $10,496 million or 36.80% amid monetary year 2014. The cost of land and building was $3,309 million for the financial year 2013. It expanded by $1,554 million or 46.96% amid the financial year 2014. The cost of land and </w:t>
      </w:r>
      <w:r w:rsidR="00526957" w:rsidRPr="00351080">
        <w:rPr>
          <w:rFonts w:ascii="Times New Roman" w:hAnsi="Times New Roman" w:cs="Times New Roman"/>
          <w:sz w:val="24"/>
          <w:szCs w:val="24"/>
        </w:rPr>
        <w:t>buildings</w:t>
      </w:r>
      <w:r w:rsidRPr="00351080">
        <w:rPr>
          <w:rFonts w:ascii="Times New Roman" w:hAnsi="Times New Roman" w:cs="Times New Roman"/>
          <w:sz w:val="24"/>
          <w:szCs w:val="24"/>
        </w:rPr>
        <w:t xml:space="preserve"> as of September 27, 2014 remained at $4,863. The cost of </w:t>
      </w:r>
      <w:r w:rsidR="00526957" w:rsidRPr="00351080">
        <w:rPr>
          <w:rFonts w:ascii="Times New Roman" w:hAnsi="Times New Roman" w:cs="Times New Roman"/>
          <w:sz w:val="24"/>
          <w:szCs w:val="24"/>
        </w:rPr>
        <w:t>machinery</w:t>
      </w:r>
      <w:r w:rsidRPr="00351080">
        <w:rPr>
          <w:rFonts w:ascii="Times New Roman" w:hAnsi="Times New Roman" w:cs="Times New Roman"/>
          <w:sz w:val="24"/>
          <w:szCs w:val="24"/>
        </w:rPr>
        <w:t xml:space="preserve">, </w:t>
      </w:r>
      <w:r w:rsidR="00526957" w:rsidRPr="00351080">
        <w:rPr>
          <w:rFonts w:ascii="Times New Roman" w:hAnsi="Times New Roman" w:cs="Times New Roman"/>
          <w:sz w:val="24"/>
          <w:szCs w:val="24"/>
        </w:rPr>
        <w:t>equipments</w:t>
      </w:r>
      <w:r w:rsidRPr="00351080">
        <w:rPr>
          <w:rFonts w:ascii="Times New Roman" w:hAnsi="Times New Roman" w:cs="Times New Roman"/>
          <w:sz w:val="24"/>
          <w:szCs w:val="24"/>
        </w:rPr>
        <w:t xml:space="preserve"> and </w:t>
      </w:r>
      <w:r w:rsidR="00526957" w:rsidRPr="00351080">
        <w:rPr>
          <w:rFonts w:ascii="Times New Roman" w:hAnsi="Times New Roman" w:cs="Times New Roman"/>
          <w:sz w:val="24"/>
          <w:szCs w:val="24"/>
        </w:rPr>
        <w:t xml:space="preserve">internal use software </w:t>
      </w:r>
      <w:r w:rsidRPr="00351080">
        <w:rPr>
          <w:rFonts w:ascii="Times New Roman" w:hAnsi="Times New Roman" w:cs="Times New Roman"/>
          <w:sz w:val="24"/>
          <w:szCs w:val="24"/>
        </w:rPr>
        <w:t xml:space="preserve">were $21,242 million for the financial year 2013 which expanded by $8,397 million or 39.53% amid the monetary year 2014. </w:t>
      </w:r>
      <w:r w:rsidR="00526957" w:rsidRPr="00351080">
        <w:rPr>
          <w:rFonts w:ascii="Times New Roman" w:hAnsi="Times New Roman" w:cs="Times New Roman"/>
          <w:sz w:val="24"/>
          <w:szCs w:val="24"/>
        </w:rPr>
        <w:t>Machinery</w:t>
      </w:r>
      <w:r w:rsidRPr="00351080">
        <w:rPr>
          <w:rFonts w:ascii="Times New Roman" w:hAnsi="Times New Roman" w:cs="Times New Roman"/>
          <w:sz w:val="24"/>
          <w:szCs w:val="24"/>
        </w:rPr>
        <w:t xml:space="preserve">, </w:t>
      </w:r>
      <w:r w:rsidR="00526957" w:rsidRPr="00351080">
        <w:rPr>
          <w:rFonts w:ascii="Times New Roman" w:hAnsi="Times New Roman" w:cs="Times New Roman"/>
          <w:sz w:val="24"/>
          <w:szCs w:val="24"/>
        </w:rPr>
        <w:t>equipment</w:t>
      </w:r>
      <w:r w:rsidRPr="00351080">
        <w:rPr>
          <w:rFonts w:ascii="Times New Roman" w:hAnsi="Times New Roman" w:cs="Times New Roman"/>
          <w:sz w:val="24"/>
          <w:szCs w:val="24"/>
        </w:rPr>
        <w:t xml:space="preserve"> and </w:t>
      </w:r>
      <w:r w:rsidR="00526957" w:rsidRPr="00351080">
        <w:rPr>
          <w:rFonts w:ascii="Times New Roman" w:hAnsi="Times New Roman" w:cs="Times New Roman"/>
          <w:sz w:val="24"/>
          <w:szCs w:val="24"/>
        </w:rPr>
        <w:t>internal use software</w:t>
      </w:r>
      <w:r w:rsidRPr="00351080">
        <w:rPr>
          <w:rFonts w:ascii="Times New Roman" w:hAnsi="Times New Roman" w:cs="Times New Roman"/>
          <w:sz w:val="24"/>
          <w:szCs w:val="24"/>
        </w:rPr>
        <w:t xml:space="preserve"> were $29,639 for the year finished September 27, 2014. The </w:t>
      </w:r>
      <w:r w:rsidR="00526957" w:rsidRPr="00351080">
        <w:rPr>
          <w:rFonts w:ascii="Times New Roman" w:hAnsi="Times New Roman" w:cs="Times New Roman"/>
          <w:sz w:val="24"/>
          <w:szCs w:val="24"/>
        </w:rPr>
        <w:t>cost of leasehold was</w:t>
      </w:r>
      <w:r w:rsidRPr="00351080">
        <w:rPr>
          <w:rFonts w:ascii="Times New Roman" w:hAnsi="Times New Roman" w:cs="Times New Roman"/>
          <w:sz w:val="24"/>
          <w:szCs w:val="24"/>
        </w:rPr>
        <w:t xml:space="preserve"> $3,968 million amid the monetary year 2014. It expanded by $545 million or </w:t>
      </w:r>
      <w:r w:rsidRPr="00351080">
        <w:rPr>
          <w:rFonts w:ascii="Times New Roman" w:hAnsi="Times New Roman" w:cs="Times New Roman"/>
          <w:sz w:val="24"/>
          <w:szCs w:val="24"/>
        </w:rPr>
        <w:lastRenderedPageBreak/>
        <w:t>13.73% amid the financial year 2014. Leasehold enhancements for the monetary year finished September 27, 2014 added up to $3,968 million. The expansion in land and building was most noteworthy as far as rate while as far as dollars the most noteworthy development was found in Machinery, gear and inward utilize programming.</w:t>
      </w:r>
    </w:p>
    <w:p w:rsidR="00EF3CE0" w:rsidRPr="00351080" w:rsidRDefault="00EF3CE0" w:rsidP="006E19F2">
      <w:pPr>
        <w:spacing w:after="0" w:line="480" w:lineRule="auto"/>
        <w:ind w:firstLine="720"/>
        <w:rPr>
          <w:rFonts w:ascii="Times New Roman" w:hAnsi="Times New Roman" w:cs="Times New Roman"/>
          <w:sz w:val="24"/>
          <w:szCs w:val="24"/>
        </w:rPr>
      </w:pPr>
      <w:r w:rsidRPr="00351080">
        <w:rPr>
          <w:rFonts w:ascii="Times New Roman" w:hAnsi="Times New Roman" w:cs="Times New Roman"/>
          <w:sz w:val="24"/>
          <w:szCs w:val="24"/>
        </w:rPr>
        <w:t>The book value of the long term assets as per September 27</w:t>
      </w:r>
      <w:r w:rsidRPr="00351080">
        <w:rPr>
          <w:rFonts w:ascii="Times New Roman" w:hAnsi="Times New Roman" w:cs="Times New Roman"/>
          <w:sz w:val="24"/>
          <w:szCs w:val="24"/>
          <w:vertAlign w:val="superscript"/>
        </w:rPr>
        <w:t>th</w:t>
      </w:r>
      <w:r w:rsidRPr="00351080">
        <w:rPr>
          <w:rFonts w:ascii="Times New Roman" w:hAnsi="Times New Roman" w:cs="Times New Roman"/>
          <w:sz w:val="24"/>
          <w:szCs w:val="24"/>
        </w:rPr>
        <w:t xml:space="preserve"> 2014 was 20264 million as compared to 16597 million dollars during the 2013 financial year. Accumulated depreciation and amortization was $11,922 million amid the financial year 2013 which increased by $6,469 million indicating a 54.26% increasing which meant that it stood at $18,391 million. The book value increased by $4,027 million or 24.26% amid financial year 2014. It demonstrates an expansion in absolute cost and book value of property, plant and gear and it implies that the organization has made extensive interests in property, plant and hardware.</w:t>
      </w:r>
    </w:p>
    <w:tbl>
      <w:tblPr>
        <w:tblW w:w="9825" w:type="dxa"/>
        <w:tblInd w:w="93" w:type="dxa"/>
        <w:tblLook w:val="04A0"/>
      </w:tblPr>
      <w:tblGrid>
        <w:gridCol w:w="4515"/>
        <w:gridCol w:w="1240"/>
        <w:gridCol w:w="1240"/>
        <w:gridCol w:w="1240"/>
        <w:gridCol w:w="1590"/>
      </w:tblGrid>
      <w:tr w:rsidR="00FA32F2" w:rsidRPr="00351080" w:rsidTr="008C15EE">
        <w:trPr>
          <w:trHeight w:val="315"/>
        </w:trPr>
        <w:tc>
          <w:tcPr>
            <w:tcW w:w="4515" w:type="dxa"/>
            <w:tcBorders>
              <w:top w:val="nil"/>
              <w:left w:val="nil"/>
              <w:bottom w:val="nil"/>
              <w:right w:val="nil"/>
            </w:tcBorders>
            <w:shd w:val="clear" w:color="auto" w:fill="auto"/>
            <w:vAlign w:val="bottom"/>
            <w:hideMark/>
          </w:tcPr>
          <w:p w:rsidR="00FA32F2" w:rsidRPr="00351080" w:rsidRDefault="00FA32F2" w:rsidP="006E19F2">
            <w:pPr>
              <w:spacing w:after="0" w:line="480" w:lineRule="auto"/>
              <w:rPr>
                <w:rFonts w:ascii="Times New Roman" w:eastAsia="Times New Roman" w:hAnsi="Times New Roman" w:cs="Times New Roman"/>
                <w:b/>
                <w:color w:val="000000"/>
                <w:sz w:val="24"/>
                <w:szCs w:val="24"/>
              </w:rPr>
            </w:pPr>
          </w:p>
        </w:tc>
        <w:tc>
          <w:tcPr>
            <w:tcW w:w="1240" w:type="dxa"/>
            <w:tcBorders>
              <w:top w:val="nil"/>
              <w:left w:val="nil"/>
              <w:bottom w:val="single" w:sz="4" w:space="0" w:color="auto"/>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2014</w:t>
            </w:r>
          </w:p>
        </w:tc>
        <w:tc>
          <w:tcPr>
            <w:tcW w:w="1240" w:type="dxa"/>
            <w:tcBorders>
              <w:top w:val="nil"/>
              <w:left w:val="nil"/>
              <w:bottom w:val="single" w:sz="4" w:space="0" w:color="auto"/>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2013</w:t>
            </w:r>
          </w:p>
        </w:tc>
        <w:tc>
          <w:tcPr>
            <w:tcW w:w="1240" w:type="dxa"/>
            <w:tcBorders>
              <w:top w:val="nil"/>
              <w:left w:val="nil"/>
              <w:bottom w:val="single" w:sz="4" w:space="0" w:color="auto"/>
              <w:right w:val="nil"/>
            </w:tcBorders>
            <w:shd w:val="clear" w:color="auto" w:fill="auto"/>
            <w:vAlign w:val="bottom"/>
            <w:hideMark/>
          </w:tcPr>
          <w:p w:rsidR="00FA32F2" w:rsidRPr="00351080" w:rsidRDefault="00FA32F2" w:rsidP="006E19F2">
            <w:pPr>
              <w:spacing w:after="0" w:line="480" w:lineRule="auto"/>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Change</w:t>
            </w:r>
          </w:p>
        </w:tc>
        <w:tc>
          <w:tcPr>
            <w:tcW w:w="1590" w:type="dxa"/>
            <w:tcBorders>
              <w:top w:val="nil"/>
              <w:left w:val="nil"/>
              <w:bottom w:val="single" w:sz="4" w:space="0" w:color="auto"/>
              <w:right w:val="nil"/>
            </w:tcBorders>
            <w:shd w:val="clear" w:color="auto" w:fill="auto"/>
            <w:noWrap/>
            <w:vAlign w:val="bottom"/>
            <w:hideMark/>
          </w:tcPr>
          <w:p w:rsidR="00FA32F2" w:rsidRPr="00351080" w:rsidRDefault="00FA32F2" w:rsidP="006E19F2">
            <w:pPr>
              <w:spacing w:after="0" w:line="480" w:lineRule="auto"/>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 Change</w:t>
            </w:r>
          </w:p>
        </w:tc>
      </w:tr>
      <w:tr w:rsidR="00FA32F2" w:rsidRPr="00351080" w:rsidTr="008C15EE">
        <w:trPr>
          <w:trHeight w:val="315"/>
        </w:trPr>
        <w:tc>
          <w:tcPr>
            <w:tcW w:w="4515" w:type="dxa"/>
            <w:tcBorders>
              <w:top w:val="nil"/>
              <w:left w:val="nil"/>
              <w:bottom w:val="nil"/>
              <w:right w:val="nil"/>
            </w:tcBorders>
            <w:shd w:val="clear" w:color="auto" w:fill="auto"/>
            <w:vAlign w:val="center"/>
            <w:hideMark/>
          </w:tcPr>
          <w:p w:rsidR="00FA32F2" w:rsidRPr="00351080" w:rsidRDefault="00FA32F2" w:rsidP="006E19F2">
            <w:pPr>
              <w:spacing w:after="0" w:line="480" w:lineRule="auto"/>
              <w:ind w:firstLineChars="100" w:firstLine="241"/>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Land and buildings</w:t>
            </w:r>
          </w:p>
        </w:tc>
        <w:tc>
          <w:tcPr>
            <w:tcW w:w="1240" w:type="dxa"/>
            <w:tcBorders>
              <w:top w:val="nil"/>
              <w:left w:val="nil"/>
              <w:bottom w:val="nil"/>
              <w:right w:val="nil"/>
            </w:tcBorders>
            <w:shd w:val="clear" w:color="auto" w:fill="auto"/>
            <w:vAlign w:val="bottom"/>
            <w:hideMark/>
          </w:tcPr>
          <w:p w:rsidR="00FA32F2" w:rsidRPr="00351080" w:rsidRDefault="00210B6C"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 xml:space="preserve"> </w:t>
            </w:r>
            <w:r w:rsidR="00FA32F2" w:rsidRPr="00351080">
              <w:rPr>
                <w:rFonts w:ascii="Times New Roman" w:eastAsia="Times New Roman" w:hAnsi="Times New Roman" w:cs="Times New Roman"/>
                <w:b/>
                <w:color w:val="000000"/>
                <w:sz w:val="24"/>
                <w:szCs w:val="24"/>
              </w:rPr>
              <w:t xml:space="preserve">4,863 </w:t>
            </w:r>
          </w:p>
        </w:tc>
        <w:tc>
          <w:tcPr>
            <w:tcW w:w="1240" w:type="dxa"/>
            <w:tcBorders>
              <w:top w:val="nil"/>
              <w:left w:val="nil"/>
              <w:bottom w:val="nil"/>
              <w:right w:val="nil"/>
            </w:tcBorders>
            <w:shd w:val="clear" w:color="auto" w:fill="auto"/>
            <w:vAlign w:val="bottom"/>
            <w:hideMark/>
          </w:tcPr>
          <w:p w:rsidR="00FA32F2" w:rsidRPr="00351080" w:rsidRDefault="00210B6C"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 xml:space="preserve"> </w:t>
            </w:r>
            <w:r w:rsidR="00FA32F2" w:rsidRPr="00351080">
              <w:rPr>
                <w:rFonts w:ascii="Times New Roman" w:eastAsia="Times New Roman" w:hAnsi="Times New Roman" w:cs="Times New Roman"/>
                <w:b/>
                <w:color w:val="000000"/>
                <w:sz w:val="24"/>
                <w:szCs w:val="24"/>
              </w:rPr>
              <w:t xml:space="preserve">3,309 </w:t>
            </w:r>
          </w:p>
        </w:tc>
        <w:tc>
          <w:tcPr>
            <w:tcW w:w="1240" w:type="dxa"/>
            <w:tcBorders>
              <w:top w:val="nil"/>
              <w:left w:val="nil"/>
              <w:bottom w:val="nil"/>
              <w:right w:val="nil"/>
            </w:tcBorders>
            <w:shd w:val="clear" w:color="auto" w:fill="auto"/>
            <w:vAlign w:val="bottom"/>
            <w:hideMark/>
          </w:tcPr>
          <w:p w:rsidR="00FA32F2" w:rsidRPr="00351080" w:rsidRDefault="00210B6C" w:rsidP="006E19F2">
            <w:pPr>
              <w:spacing w:after="0" w:line="480" w:lineRule="auto"/>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 xml:space="preserve"> </w:t>
            </w:r>
            <w:r w:rsidR="00EF3CE0" w:rsidRPr="00351080">
              <w:rPr>
                <w:rFonts w:ascii="Times New Roman" w:eastAsia="Times New Roman" w:hAnsi="Times New Roman" w:cs="Times New Roman"/>
                <w:b/>
                <w:color w:val="000000"/>
                <w:sz w:val="24"/>
                <w:szCs w:val="24"/>
              </w:rPr>
              <w:t xml:space="preserve">     </w:t>
            </w:r>
            <w:r w:rsidR="00FA32F2" w:rsidRPr="00351080">
              <w:rPr>
                <w:rFonts w:ascii="Times New Roman" w:eastAsia="Times New Roman" w:hAnsi="Times New Roman" w:cs="Times New Roman"/>
                <w:b/>
                <w:color w:val="000000"/>
                <w:sz w:val="24"/>
                <w:szCs w:val="24"/>
              </w:rPr>
              <w:t xml:space="preserve">1,554 </w:t>
            </w:r>
          </w:p>
        </w:tc>
        <w:tc>
          <w:tcPr>
            <w:tcW w:w="1590" w:type="dxa"/>
            <w:tcBorders>
              <w:top w:val="nil"/>
              <w:left w:val="nil"/>
              <w:bottom w:val="nil"/>
              <w:right w:val="nil"/>
            </w:tcBorders>
            <w:shd w:val="clear" w:color="auto" w:fill="auto"/>
            <w:noWrap/>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46.96%</w:t>
            </w:r>
          </w:p>
        </w:tc>
      </w:tr>
      <w:tr w:rsidR="00FA32F2" w:rsidRPr="00351080" w:rsidTr="008C15EE">
        <w:trPr>
          <w:trHeight w:val="315"/>
        </w:trPr>
        <w:tc>
          <w:tcPr>
            <w:tcW w:w="4515" w:type="dxa"/>
            <w:tcBorders>
              <w:top w:val="nil"/>
              <w:left w:val="nil"/>
              <w:bottom w:val="nil"/>
              <w:right w:val="nil"/>
            </w:tcBorders>
            <w:shd w:val="clear" w:color="auto" w:fill="auto"/>
            <w:vAlign w:val="center"/>
            <w:hideMark/>
          </w:tcPr>
          <w:p w:rsidR="00FA32F2" w:rsidRPr="00351080" w:rsidRDefault="00FA32F2" w:rsidP="006E19F2">
            <w:pPr>
              <w:spacing w:after="0" w:line="480" w:lineRule="auto"/>
              <w:ind w:firstLineChars="100" w:firstLine="241"/>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Machinery, equipment and internal-use software</w:t>
            </w:r>
          </w:p>
        </w:tc>
        <w:tc>
          <w:tcPr>
            <w:tcW w:w="1240" w:type="dxa"/>
            <w:tcBorders>
              <w:top w:val="nil"/>
              <w:left w:val="nil"/>
              <w:bottom w:val="nil"/>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29,639</w:t>
            </w:r>
          </w:p>
        </w:tc>
        <w:tc>
          <w:tcPr>
            <w:tcW w:w="1240" w:type="dxa"/>
            <w:tcBorders>
              <w:top w:val="nil"/>
              <w:left w:val="nil"/>
              <w:bottom w:val="nil"/>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21,242</w:t>
            </w:r>
          </w:p>
        </w:tc>
        <w:tc>
          <w:tcPr>
            <w:tcW w:w="1240" w:type="dxa"/>
            <w:tcBorders>
              <w:top w:val="nil"/>
              <w:left w:val="nil"/>
              <w:bottom w:val="nil"/>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8,397</w:t>
            </w:r>
          </w:p>
        </w:tc>
        <w:tc>
          <w:tcPr>
            <w:tcW w:w="1590" w:type="dxa"/>
            <w:tcBorders>
              <w:top w:val="nil"/>
              <w:left w:val="nil"/>
              <w:bottom w:val="nil"/>
              <w:right w:val="nil"/>
            </w:tcBorders>
            <w:shd w:val="clear" w:color="auto" w:fill="auto"/>
            <w:noWrap/>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39.53%</w:t>
            </w:r>
          </w:p>
        </w:tc>
      </w:tr>
      <w:tr w:rsidR="00FA32F2" w:rsidRPr="00351080" w:rsidTr="008C15EE">
        <w:trPr>
          <w:trHeight w:val="315"/>
        </w:trPr>
        <w:tc>
          <w:tcPr>
            <w:tcW w:w="4515" w:type="dxa"/>
            <w:tcBorders>
              <w:top w:val="nil"/>
              <w:left w:val="nil"/>
              <w:bottom w:val="nil"/>
              <w:right w:val="nil"/>
            </w:tcBorders>
            <w:shd w:val="clear" w:color="auto" w:fill="auto"/>
            <w:vAlign w:val="center"/>
            <w:hideMark/>
          </w:tcPr>
          <w:p w:rsidR="00FA32F2" w:rsidRPr="00351080" w:rsidRDefault="00FA32F2" w:rsidP="006E19F2">
            <w:pPr>
              <w:spacing w:after="0" w:line="480" w:lineRule="auto"/>
              <w:ind w:firstLineChars="100" w:firstLine="241"/>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Leasehold improvements</w:t>
            </w:r>
          </w:p>
        </w:tc>
        <w:tc>
          <w:tcPr>
            <w:tcW w:w="1240" w:type="dxa"/>
            <w:tcBorders>
              <w:top w:val="nil"/>
              <w:left w:val="nil"/>
              <w:bottom w:val="single" w:sz="4" w:space="0" w:color="auto"/>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4,513</w:t>
            </w:r>
          </w:p>
        </w:tc>
        <w:tc>
          <w:tcPr>
            <w:tcW w:w="1240" w:type="dxa"/>
            <w:tcBorders>
              <w:top w:val="nil"/>
              <w:left w:val="nil"/>
              <w:bottom w:val="single" w:sz="4" w:space="0" w:color="auto"/>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3,968</w:t>
            </w:r>
          </w:p>
        </w:tc>
        <w:tc>
          <w:tcPr>
            <w:tcW w:w="1240" w:type="dxa"/>
            <w:tcBorders>
              <w:top w:val="nil"/>
              <w:left w:val="nil"/>
              <w:bottom w:val="single" w:sz="4" w:space="0" w:color="auto"/>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545</w:t>
            </w:r>
          </w:p>
        </w:tc>
        <w:tc>
          <w:tcPr>
            <w:tcW w:w="1590" w:type="dxa"/>
            <w:tcBorders>
              <w:top w:val="nil"/>
              <w:left w:val="nil"/>
              <w:bottom w:val="nil"/>
              <w:right w:val="nil"/>
            </w:tcBorders>
            <w:shd w:val="clear" w:color="auto" w:fill="auto"/>
            <w:noWrap/>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13.73%</w:t>
            </w:r>
          </w:p>
        </w:tc>
      </w:tr>
      <w:tr w:rsidR="00FA32F2" w:rsidRPr="00351080" w:rsidTr="008C15EE">
        <w:trPr>
          <w:trHeight w:val="315"/>
        </w:trPr>
        <w:tc>
          <w:tcPr>
            <w:tcW w:w="4515" w:type="dxa"/>
            <w:tcBorders>
              <w:top w:val="nil"/>
              <w:left w:val="nil"/>
              <w:bottom w:val="nil"/>
              <w:right w:val="nil"/>
            </w:tcBorders>
            <w:shd w:val="clear" w:color="auto" w:fill="auto"/>
            <w:vAlign w:val="center"/>
            <w:hideMark/>
          </w:tcPr>
          <w:p w:rsidR="00FA32F2" w:rsidRPr="00351080" w:rsidRDefault="00FA32F2" w:rsidP="006E19F2">
            <w:pPr>
              <w:spacing w:after="0" w:line="480" w:lineRule="auto"/>
              <w:ind w:firstLineChars="300" w:firstLine="723"/>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Gross property, plant and equipment</w:t>
            </w:r>
          </w:p>
        </w:tc>
        <w:tc>
          <w:tcPr>
            <w:tcW w:w="1240" w:type="dxa"/>
            <w:tcBorders>
              <w:top w:val="nil"/>
              <w:left w:val="nil"/>
              <w:bottom w:val="nil"/>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39,015</w:t>
            </w:r>
          </w:p>
        </w:tc>
        <w:tc>
          <w:tcPr>
            <w:tcW w:w="1240" w:type="dxa"/>
            <w:tcBorders>
              <w:top w:val="nil"/>
              <w:left w:val="nil"/>
              <w:bottom w:val="nil"/>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28,519</w:t>
            </w:r>
          </w:p>
        </w:tc>
        <w:tc>
          <w:tcPr>
            <w:tcW w:w="1240" w:type="dxa"/>
            <w:tcBorders>
              <w:top w:val="nil"/>
              <w:left w:val="nil"/>
              <w:bottom w:val="nil"/>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10,496</w:t>
            </w:r>
          </w:p>
        </w:tc>
        <w:tc>
          <w:tcPr>
            <w:tcW w:w="1590" w:type="dxa"/>
            <w:tcBorders>
              <w:top w:val="nil"/>
              <w:left w:val="nil"/>
              <w:bottom w:val="nil"/>
              <w:right w:val="nil"/>
            </w:tcBorders>
            <w:shd w:val="clear" w:color="auto" w:fill="auto"/>
            <w:noWrap/>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36.80%</w:t>
            </w:r>
          </w:p>
        </w:tc>
      </w:tr>
      <w:tr w:rsidR="00FA32F2" w:rsidRPr="00351080" w:rsidTr="008C15EE">
        <w:trPr>
          <w:trHeight w:val="315"/>
        </w:trPr>
        <w:tc>
          <w:tcPr>
            <w:tcW w:w="4515" w:type="dxa"/>
            <w:tcBorders>
              <w:top w:val="nil"/>
              <w:left w:val="nil"/>
              <w:bottom w:val="nil"/>
              <w:right w:val="nil"/>
            </w:tcBorders>
            <w:shd w:val="clear" w:color="auto" w:fill="auto"/>
            <w:vAlign w:val="center"/>
            <w:hideMark/>
          </w:tcPr>
          <w:p w:rsidR="00FA32F2" w:rsidRPr="00351080" w:rsidRDefault="00FA32F2" w:rsidP="006E19F2">
            <w:pPr>
              <w:spacing w:after="0" w:line="480" w:lineRule="auto"/>
              <w:ind w:firstLineChars="100" w:firstLine="241"/>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Accumulated depreciation and amortization</w:t>
            </w:r>
          </w:p>
        </w:tc>
        <w:tc>
          <w:tcPr>
            <w:tcW w:w="1240" w:type="dxa"/>
            <w:tcBorders>
              <w:top w:val="nil"/>
              <w:left w:val="nil"/>
              <w:bottom w:val="nil"/>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-18,391</w:t>
            </w:r>
          </w:p>
        </w:tc>
        <w:tc>
          <w:tcPr>
            <w:tcW w:w="1240" w:type="dxa"/>
            <w:tcBorders>
              <w:top w:val="nil"/>
              <w:left w:val="nil"/>
              <w:bottom w:val="nil"/>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-11,922</w:t>
            </w:r>
          </w:p>
        </w:tc>
        <w:tc>
          <w:tcPr>
            <w:tcW w:w="1240" w:type="dxa"/>
            <w:tcBorders>
              <w:top w:val="nil"/>
              <w:left w:val="nil"/>
              <w:bottom w:val="nil"/>
              <w:right w:val="nil"/>
            </w:tcBorders>
            <w:shd w:val="clear" w:color="auto" w:fill="auto"/>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-6,469</w:t>
            </w:r>
          </w:p>
        </w:tc>
        <w:tc>
          <w:tcPr>
            <w:tcW w:w="1590" w:type="dxa"/>
            <w:tcBorders>
              <w:top w:val="nil"/>
              <w:left w:val="nil"/>
              <w:bottom w:val="nil"/>
              <w:right w:val="nil"/>
            </w:tcBorders>
            <w:shd w:val="clear" w:color="auto" w:fill="auto"/>
            <w:noWrap/>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54.26%</w:t>
            </w:r>
          </w:p>
        </w:tc>
      </w:tr>
      <w:tr w:rsidR="00FA32F2" w:rsidRPr="00351080" w:rsidTr="008C15EE">
        <w:trPr>
          <w:trHeight w:val="330"/>
        </w:trPr>
        <w:tc>
          <w:tcPr>
            <w:tcW w:w="4515" w:type="dxa"/>
            <w:tcBorders>
              <w:top w:val="nil"/>
              <w:left w:val="nil"/>
              <w:bottom w:val="nil"/>
              <w:right w:val="nil"/>
            </w:tcBorders>
            <w:shd w:val="clear" w:color="auto" w:fill="auto"/>
            <w:vAlign w:val="center"/>
            <w:hideMark/>
          </w:tcPr>
          <w:p w:rsidR="00FA32F2" w:rsidRPr="00351080" w:rsidRDefault="00FA32F2" w:rsidP="006E19F2">
            <w:pPr>
              <w:spacing w:after="0" w:line="480" w:lineRule="auto"/>
              <w:ind w:firstLineChars="300" w:firstLine="723"/>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Net property, plant and equipment</w:t>
            </w:r>
          </w:p>
        </w:tc>
        <w:tc>
          <w:tcPr>
            <w:tcW w:w="1240" w:type="dxa"/>
            <w:tcBorders>
              <w:top w:val="single" w:sz="4" w:space="0" w:color="auto"/>
              <w:left w:val="nil"/>
              <w:bottom w:val="double" w:sz="6" w:space="0" w:color="auto"/>
              <w:right w:val="nil"/>
            </w:tcBorders>
            <w:shd w:val="clear" w:color="auto" w:fill="auto"/>
            <w:vAlign w:val="bottom"/>
            <w:hideMark/>
          </w:tcPr>
          <w:p w:rsidR="00FA32F2" w:rsidRPr="00351080" w:rsidRDefault="00210B6C"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 xml:space="preserve"> </w:t>
            </w:r>
            <w:r w:rsidR="00FA32F2" w:rsidRPr="00351080">
              <w:rPr>
                <w:rFonts w:ascii="Times New Roman" w:eastAsia="Times New Roman" w:hAnsi="Times New Roman" w:cs="Times New Roman"/>
                <w:b/>
                <w:color w:val="000000"/>
                <w:sz w:val="24"/>
                <w:szCs w:val="24"/>
              </w:rPr>
              <w:t xml:space="preserve">20,624 </w:t>
            </w:r>
          </w:p>
        </w:tc>
        <w:tc>
          <w:tcPr>
            <w:tcW w:w="1240" w:type="dxa"/>
            <w:tcBorders>
              <w:top w:val="single" w:sz="4" w:space="0" w:color="auto"/>
              <w:left w:val="nil"/>
              <w:bottom w:val="double" w:sz="6" w:space="0" w:color="auto"/>
              <w:right w:val="nil"/>
            </w:tcBorders>
            <w:shd w:val="clear" w:color="auto" w:fill="auto"/>
            <w:vAlign w:val="bottom"/>
            <w:hideMark/>
          </w:tcPr>
          <w:p w:rsidR="00FA32F2" w:rsidRPr="00351080" w:rsidRDefault="00210B6C"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 xml:space="preserve"> </w:t>
            </w:r>
            <w:r w:rsidR="00FA32F2" w:rsidRPr="00351080">
              <w:rPr>
                <w:rFonts w:ascii="Times New Roman" w:eastAsia="Times New Roman" w:hAnsi="Times New Roman" w:cs="Times New Roman"/>
                <w:b/>
                <w:color w:val="000000"/>
                <w:sz w:val="24"/>
                <w:szCs w:val="24"/>
              </w:rPr>
              <w:t xml:space="preserve">16,597 </w:t>
            </w:r>
          </w:p>
        </w:tc>
        <w:tc>
          <w:tcPr>
            <w:tcW w:w="1240" w:type="dxa"/>
            <w:tcBorders>
              <w:top w:val="single" w:sz="4" w:space="0" w:color="auto"/>
              <w:left w:val="nil"/>
              <w:bottom w:val="double" w:sz="6" w:space="0" w:color="auto"/>
              <w:right w:val="nil"/>
            </w:tcBorders>
            <w:shd w:val="clear" w:color="auto" w:fill="auto"/>
            <w:vAlign w:val="bottom"/>
            <w:hideMark/>
          </w:tcPr>
          <w:p w:rsidR="00FA32F2" w:rsidRPr="00351080" w:rsidRDefault="00210B6C" w:rsidP="006E19F2">
            <w:pPr>
              <w:spacing w:after="0" w:line="480" w:lineRule="auto"/>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 xml:space="preserve"> </w:t>
            </w:r>
            <w:r w:rsidR="00EF3CE0" w:rsidRPr="00351080">
              <w:rPr>
                <w:rFonts w:ascii="Times New Roman" w:eastAsia="Times New Roman" w:hAnsi="Times New Roman" w:cs="Times New Roman"/>
                <w:b/>
                <w:color w:val="000000"/>
                <w:sz w:val="24"/>
                <w:szCs w:val="24"/>
              </w:rPr>
              <w:t xml:space="preserve">     </w:t>
            </w:r>
            <w:r w:rsidR="00FA32F2" w:rsidRPr="00351080">
              <w:rPr>
                <w:rFonts w:ascii="Times New Roman" w:eastAsia="Times New Roman" w:hAnsi="Times New Roman" w:cs="Times New Roman"/>
                <w:b/>
                <w:color w:val="000000"/>
                <w:sz w:val="24"/>
                <w:szCs w:val="24"/>
              </w:rPr>
              <w:t xml:space="preserve">4,027 </w:t>
            </w:r>
          </w:p>
        </w:tc>
        <w:tc>
          <w:tcPr>
            <w:tcW w:w="1590" w:type="dxa"/>
            <w:tcBorders>
              <w:top w:val="nil"/>
              <w:left w:val="nil"/>
              <w:bottom w:val="nil"/>
              <w:right w:val="nil"/>
            </w:tcBorders>
            <w:shd w:val="clear" w:color="auto" w:fill="auto"/>
            <w:noWrap/>
            <w:vAlign w:val="bottom"/>
            <w:hideMark/>
          </w:tcPr>
          <w:p w:rsidR="00FA32F2" w:rsidRPr="00351080" w:rsidRDefault="00FA32F2" w:rsidP="006E19F2">
            <w:pPr>
              <w:spacing w:after="0" w:line="480" w:lineRule="auto"/>
              <w:jc w:val="right"/>
              <w:rPr>
                <w:rFonts w:ascii="Times New Roman" w:eastAsia="Times New Roman" w:hAnsi="Times New Roman" w:cs="Times New Roman"/>
                <w:b/>
                <w:color w:val="000000"/>
                <w:sz w:val="24"/>
                <w:szCs w:val="24"/>
              </w:rPr>
            </w:pPr>
            <w:r w:rsidRPr="00351080">
              <w:rPr>
                <w:rFonts w:ascii="Times New Roman" w:eastAsia="Times New Roman" w:hAnsi="Times New Roman" w:cs="Times New Roman"/>
                <w:b/>
                <w:color w:val="000000"/>
                <w:sz w:val="24"/>
                <w:szCs w:val="24"/>
              </w:rPr>
              <w:t>24.26%</w:t>
            </w:r>
          </w:p>
        </w:tc>
      </w:tr>
    </w:tbl>
    <w:p w:rsidR="00210B6C" w:rsidRPr="00351080" w:rsidRDefault="00210B6C" w:rsidP="006E19F2">
      <w:pPr>
        <w:spacing w:after="0" w:line="480" w:lineRule="auto"/>
        <w:rPr>
          <w:rFonts w:ascii="Times New Roman" w:hAnsi="Times New Roman" w:cs="Times New Roman"/>
          <w:b/>
          <w:sz w:val="24"/>
          <w:szCs w:val="24"/>
        </w:rPr>
      </w:pPr>
    </w:p>
    <w:p w:rsidR="00B70C81" w:rsidRPr="00351080" w:rsidRDefault="00B70C81" w:rsidP="006E19F2">
      <w:pPr>
        <w:spacing w:after="0" w:line="480" w:lineRule="auto"/>
        <w:rPr>
          <w:rFonts w:ascii="Times New Roman" w:hAnsi="Times New Roman" w:cs="Times New Roman"/>
          <w:b/>
          <w:sz w:val="24"/>
          <w:szCs w:val="24"/>
        </w:rPr>
      </w:pPr>
      <w:r w:rsidRPr="00351080">
        <w:rPr>
          <w:rFonts w:ascii="Times New Roman" w:hAnsi="Times New Roman" w:cs="Times New Roman"/>
          <w:b/>
          <w:sz w:val="24"/>
          <w:szCs w:val="24"/>
        </w:rPr>
        <w:lastRenderedPageBreak/>
        <w:t>Method of Depreciation</w:t>
      </w:r>
    </w:p>
    <w:p w:rsidR="006154D9" w:rsidRPr="00351080" w:rsidRDefault="006154D9" w:rsidP="006E19F2">
      <w:pPr>
        <w:spacing w:after="0" w:line="480" w:lineRule="auto"/>
        <w:ind w:firstLine="1440"/>
        <w:rPr>
          <w:rFonts w:ascii="Times New Roman" w:hAnsi="Times New Roman" w:cs="Times New Roman"/>
          <w:sz w:val="24"/>
          <w:szCs w:val="24"/>
        </w:rPr>
      </w:pPr>
      <w:r w:rsidRPr="00351080">
        <w:rPr>
          <w:rFonts w:ascii="Times New Roman" w:hAnsi="Times New Roman" w:cs="Times New Roman"/>
          <w:sz w:val="24"/>
          <w:szCs w:val="24"/>
        </w:rPr>
        <w:t xml:space="preserve">Apple, Inc. figures depreciation by utilizing straight line method over the assessed </w:t>
      </w:r>
      <w:r w:rsidR="00985371" w:rsidRPr="00351080">
        <w:rPr>
          <w:rFonts w:ascii="Times New Roman" w:hAnsi="Times New Roman" w:cs="Times New Roman"/>
          <w:sz w:val="24"/>
          <w:szCs w:val="24"/>
        </w:rPr>
        <w:t>useful</w:t>
      </w:r>
      <w:r w:rsidRPr="00351080">
        <w:rPr>
          <w:rFonts w:ascii="Times New Roman" w:hAnsi="Times New Roman" w:cs="Times New Roman"/>
          <w:sz w:val="24"/>
          <w:szCs w:val="24"/>
        </w:rPr>
        <w:t xml:space="preserve"> </w:t>
      </w:r>
      <w:r w:rsidR="00985371" w:rsidRPr="00351080">
        <w:rPr>
          <w:rFonts w:ascii="Times New Roman" w:hAnsi="Times New Roman" w:cs="Times New Roman"/>
          <w:sz w:val="24"/>
          <w:szCs w:val="24"/>
        </w:rPr>
        <w:t>live</w:t>
      </w:r>
      <w:r w:rsidRPr="00351080">
        <w:rPr>
          <w:rFonts w:ascii="Times New Roman" w:hAnsi="Times New Roman" w:cs="Times New Roman"/>
          <w:sz w:val="24"/>
          <w:szCs w:val="24"/>
        </w:rPr>
        <w:t xml:space="preserve"> of the </w:t>
      </w:r>
      <w:r w:rsidR="00985371" w:rsidRPr="00351080">
        <w:rPr>
          <w:rFonts w:ascii="Times New Roman" w:hAnsi="Times New Roman" w:cs="Times New Roman"/>
          <w:sz w:val="24"/>
          <w:szCs w:val="24"/>
        </w:rPr>
        <w:t>assets</w:t>
      </w:r>
      <w:r w:rsidRPr="00351080">
        <w:rPr>
          <w:rFonts w:ascii="Times New Roman" w:hAnsi="Times New Roman" w:cs="Times New Roman"/>
          <w:sz w:val="24"/>
          <w:szCs w:val="24"/>
        </w:rPr>
        <w:t xml:space="preserve">. An expected </w:t>
      </w:r>
      <w:r w:rsidR="00985371" w:rsidRPr="00351080">
        <w:rPr>
          <w:rFonts w:ascii="Times New Roman" w:hAnsi="Times New Roman" w:cs="Times New Roman"/>
          <w:sz w:val="24"/>
          <w:szCs w:val="24"/>
        </w:rPr>
        <w:t>useful</w:t>
      </w:r>
      <w:r w:rsidRPr="00351080">
        <w:rPr>
          <w:rFonts w:ascii="Times New Roman" w:hAnsi="Times New Roman" w:cs="Times New Roman"/>
          <w:sz w:val="24"/>
          <w:szCs w:val="24"/>
        </w:rPr>
        <w:t xml:space="preserve"> </w:t>
      </w:r>
      <w:r w:rsidR="00985371" w:rsidRPr="00351080">
        <w:rPr>
          <w:rFonts w:ascii="Times New Roman" w:hAnsi="Times New Roman" w:cs="Times New Roman"/>
          <w:sz w:val="24"/>
          <w:szCs w:val="24"/>
        </w:rPr>
        <w:t>life of the structures is less than</w:t>
      </w:r>
      <w:r w:rsidRPr="00351080">
        <w:rPr>
          <w:rFonts w:ascii="Times New Roman" w:hAnsi="Times New Roman" w:cs="Times New Roman"/>
          <w:sz w:val="24"/>
          <w:szCs w:val="24"/>
        </w:rPr>
        <w:t xml:space="preserve"> 30 years or remaining </w:t>
      </w:r>
      <w:r w:rsidR="00985371" w:rsidRPr="00351080">
        <w:rPr>
          <w:rFonts w:ascii="Times New Roman" w:hAnsi="Times New Roman" w:cs="Times New Roman"/>
          <w:sz w:val="24"/>
          <w:szCs w:val="24"/>
        </w:rPr>
        <w:t>life</w:t>
      </w:r>
      <w:r w:rsidRPr="00351080">
        <w:rPr>
          <w:rFonts w:ascii="Times New Roman" w:hAnsi="Times New Roman" w:cs="Times New Roman"/>
          <w:sz w:val="24"/>
          <w:szCs w:val="24"/>
        </w:rPr>
        <w:t xml:space="preserve"> of building. For </w:t>
      </w:r>
      <w:r w:rsidR="00985371" w:rsidRPr="00351080">
        <w:rPr>
          <w:rFonts w:ascii="Times New Roman" w:hAnsi="Times New Roman" w:cs="Times New Roman"/>
          <w:sz w:val="24"/>
          <w:szCs w:val="24"/>
        </w:rPr>
        <w:t>machinery and equipment</w:t>
      </w:r>
      <w:r w:rsidRPr="00351080">
        <w:rPr>
          <w:rFonts w:ascii="Times New Roman" w:hAnsi="Times New Roman" w:cs="Times New Roman"/>
          <w:sz w:val="24"/>
          <w:szCs w:val="24"/>
        </w:rPr>
        <w:t xml:space="preserve"> the evaluated </w:t>
      </w:r>
      <w:r w:rsidR="00985371" w:rsidRPr="00351080">
        <w:rPr>
          <w:rFonts w:ascii="Times New Roman" w:hAnsi="Times New Roman" w:cs="Times New Roman"/>
          <w:sz w:val="24"/>
          <w:szCs w:val="24"/>
        </w:rPr>
        <w:t>useful</w:t>
      </w:r>
      <w:r w:rsidRPr="00351080">
        <w:rPr>
          <w:rFonts w:ascii="Times New Roman" w:hAnsi="Times New Roman" w:cs="Times New Roman"/>
          <w:sz w:val="24"/>
          <w:szCs w:val="24"/>
        </w:rPr>
        <w:t xml:space="preserve"> life taken is 2 to 5 years and for leasehold enhancements the assessed valuable life is lesser of rent terms or 10 years. Item tooling and fabricating process </w:t>
      </w:r>
      <w:r w:rsidR="00985371" w:rsidRPr="00351080">
        <w:rPr>
          <w:rFonts w:ascii="Times New Roman" w:hAnsi="Times New Roman" w:cs="Times New Roman"/>
          <w:sz w:val="24"/>
          <w:szCs w:val="24"/>
        </w:rPr>
        <w:t>equipments</w:t>
      </w:r>
      <w:r w:rsidRPr="00351080">
        <w:rPr>
          <w:rFonts w:ascii="Times New Roman" w:hAnsi="Times New Roman" w:cs="Times New Roman"/>
          <w:sz w:val="24"/>
          <w:szCs w:val="24"/>
        </w:rPr>
        <w:t xml:space="preserve"> are incorporated into </w:t>
      </w:r>
      <w:r w:rsidR="00985371" w:rsidRPr="00351080">
        <w:rPr>
          <w:rFonts w:ascii="Times New Roman" w:hAnsi="Times New Roman" w:cs="Times New Roman"/>
          <w:sz w:val="24"/>
          <w:szCs w:val="24"/>
        </w:rPr>
        <w:t>machinery</w:t>
      </w:r>
      <w:r w:rsidRPr="00351080">
        <w:rPr>
          <w:rFonts w:ascii="Times New Roman" w:hAnsi="Times New Roman" w:cs="Times New Roman"/>
          <w:sz w:val="24"/>
          <w:szCs w:val="24"/>
        </w:rPr>
        <w:t xml:space="preserve"> and </w:t>
      </w:r>
      <w:r w:rsidR="00985371" w:rsidRPr="00351080">
        <w:rPr>
          <w:rFonts w:ascii="Times New Roman" w:hAnsi="Times New Roman" w:cs="Times New Roman"/>
          <w:sz w:val="24"/>
          <w:szCs w:val="24"/>
        </w:rPr>
        <w:t>equipment</w:t>
      </w:r>
      <w:r w:rsidRPr="00351080">
        <w:rPr>
          <w:rFonts w:ascii="Times New Roman" w:hAnsi="Times New Roman" w:cs="Times New Roman"/>
          <w:sz w:val="24"/>
          <w:szCs w:val="24"/>
        </w:rPr>
        <w:t xml:space="preserve">. The qualified cost of creating or procuring the product for </w:t>
      </w:r>
      <w:r w:rsidR="00985371" w:rsidRPr="00351080">
        <w:rPr>
          <w:rFonts w:ascii="Times New Roman" w:hAnsi="Times New Roman" w:cs="Times New Roman"/>
          <w:sz w:val="24"/>
          <w:szCs w:val="24"/>
        </w:rPr>
        <w:t>internal</w:t>
      </w:r>
      <w:r w:rsidRPr="00351080">
        <w:rPr>
          <w:rFonts w:ascii="Times New Roman" w:hAnsi="Times New Roman" w:cs="Times New Roman"/>
          <w:sz w:val="24"/>
          <w:szCs w:val="24"/>
        </w:rPr>
        <w:t xml:space="preserve"> </w:t>
      </w:r>
      <w:r w:rsidR="00985371" w:rsidRPr="00351080">
        <w:rPr>
          <w:rFonts w:ascii="Times New Roman" w:hAnsi="Times New Roman" w:cs="Times New Roman"/>
          <w:sz w:val="24"/>
          <w:szCs w:val="24"/>
        </w:rPr>
        <w:t>use</w:t>
      </w:r>
      <w:r w:rsidRPr="00351080">
        <w:rPr>
          <w:rFonts w:ascii="Times New Roman" w:hAnsi="Times New Roman" w:cs="Times New Roman"/>
          <w:sz w:val="24"/>
          <w:szCs w:val="24"/>
        </w:rPr>
        <w:t xml:space="preserve"> is promoted by the organization. The promoted cost is of inner </w:t>
      </w:r>
      <w:r w:rsidR="00985371" w:rsidRPr="00351080">
        <w:rPr>
          <w:rFonts w:ascii="Times New Roman" w:hAnsi="Times New Roman" w:cs="Times New Roman"/>
          <w:sz w:val="24"/>
          <w:szCs w:val="24"/>
        </w:rPr>
        <w:t>use</w:t>
      </w:r>
      <w:r w:rsidRPr="00351080">
        <w:rPr>
          <w:rFonts w:ascii="Times New Roman" w:hAnsi="Times New Roman" w:cs="Times New Roman"/>
          <w:sz w:val="24"/>
          <w:szCs w:val="24"/>
        </w:rPr>
        <w:t xml:space="preserve"> </w:t>
      </w:r>
      <w:r w:rsidR="00985371" w:rsidRPr="00351080">
        <w:rPr>
          <w:rFonts w:ascii="Times New Roman" w:hAnsi="Times New Roman" w:cs="Times New Roman"/>
          <w:sz w:val="24"/>
          <w:szCs w:val="24"/>
        </w:rPr>
        <w:t>software</w:t>
      </w:r>
      <w:r w:rsidRPr="00351080">
        <w:rPr>
          <w:rFonts w:ascii="Times New Roman" w:hAnsi="Times New Roman" w:cs="Times New Roman"/>
          <w:sz w:val="24"/>
          <w:szCs w:val="24"/>
        </w:rPr>
        <w:t xml:space="preserve"> is amortized by utilizing the straight line </w:t>
      </w:r>
      <w:r w:rsidR="00985371" w:rsidRPr="00351080">
        <w:rPr>
          <w:rFonts w:ascii="Times New Roman" w:hAnsi="Times New Roman" w:cs="Times New Roman"/>
          <w:sz w:val="24"/>
          <w:szCs w:val="24"/>
        </w:rPr>
        <w:t>method</w:t>
      </w:r>
      <w:r w:rsidRPr="00351080">
        <w:rPr>
          <w:rFonts w:ascii="Times New Roman" w:hAnsi="Times New Roman" w:cs="Times New Roman"/>
          <w:sz w:val="24"/>
          <w:szCs w:val="24"/>
        </w:rPr>
        <w:t xml:space="preserve"> which is assumed </w:t>
      </w:r>
      <w:r w:rsidR="00985371" w:rsidRPr="00351080">
        <w:rPr>
          <w:rFonts w:ascii="Times New Roman" w:hAnsi="Times New Roman" w:cs="Times New Roman"/>
          <w:sz w:val="24"/>
          <w:szCs w:val="24"/>
        </w:rPr>
        <w:t>taken</w:t>
      </w:r>
      <w:r w:rsidRPr="00351080">
        <w:rPr>
          <w:rFonts w:ascii="Times New Roman" w:hAnsi="Times New Roman" w:cs="Times New Roman"/>
          <w:sz w:val="24"/>
          <w:szCs w:val="24"/>
        </w:rPr>
        <w:t xml:space="preserve"> over the </w:t>
      </w:r>
      <w:r w:rsidR="00985371" w:rsidRPr="00351080">
        <w:rPr>
          <w:rFonts w:ascii="Times New Roman" w:hAnsi="Times New Roman" w:cs="Times New Roman"/>
          <w:sz w:val="24"/>
          <w:szCs w:val="24"/>
        </w:rPr>
        <w:t>useful life</w:t>
      </w:r>
      <w:r w:rsidRPr="00351080">
        <w:rPr>
          <w:rFonts w:ascii="Times New Roman" w:hAnsi="Times New Roman" w:cs="Times New Roman"/>
          <w:sz w:val="24"/>
          <w:szCs w:val="24"/>
        </w:rPr>
        <w:t xml:space="preserve"> of the </w:t>
      </w:r>
      <w:r w:rsidR="00985371" w:rsidRPr="00351080">
        <w:rPr>
          <w:rFonts w:ascii="Times New Roman" w:hAnsi="Times New Roman" w:cs="Times New Roman"/>
          <w:sz w:val="24"/>
          <w:szCs w:val="24"/>
        </w:rPr>
        <w:t>asset</w:t>
      </w:r>
      <w:r w:rsidRPr="00351080">
        <w:rPr>
          <w:rFonts w:ascii="Times New Roman" w:hAnsi="Times New Roman" w:cs="Times New Roman"/>
          <w:sz w:val="24"/>
          <w:szCs w:val="24"/>
        </w:rPr>
        <w:t xml:space="preserve"> that regularly go from 3 to 5 years. Extensive resources of the organization are surveyed for debilitation when it is arraigned by the conditions that the conveying measure of the advantage is not recoverable. There was no critical weakness recorded by the organization amid the financial year 2014. Goodwill and </w:t>
      </w:r>
      <w:r w:rsidR="00985371" w:rsidRPr="00351080">
        <w:rPr>
          <w:rFonts w:ascii="Times New Roman" w:hAnsi="Times New Roman" w:cs="Times New Roman"/>
          <w:sz w:val="24"/>
          <w:szCs w:val="24"/>
        </w:rPr>
        <w:t xml:space="preserve">other intangible </w:t>
      </w:r>
      <w:r w:rsidR="00EF3CE0" w:rsidRPr="00351080">
        <w:rPr>
          <w:rFonts w:ascii="Times New Roman" w:hAnsi="Times New Roman" w:cs="Times New Roman"/>
          <w:sz w:val="24"/>
          <w:szCs w:val="24"/>
        </w:rPr>
        <w:t>assets</w:t>
      </w:r>
      <w:r w:rsidRPr="00351080">
        <w:rPr>
          <w:rFonts w:ascii="Times New Roman" w:hAnsi="Times New Roman" w:cs="Times New Roman"/>
          <w:sz w:val="24"/>
          <w:szCs w:val="24"/>
        </w:rPr>
        <w:t xml:space="preserve"> are not amortized but rather are tried for debilitation in the event that it is demonstrated by conditions that the benefit is to be hindered.</w:t>
      </w:r>
    </w:p>
    <w:p w:rsidR="004375FC" w:rsidRPr="00351080" w:rsidRDefault="004375FC" w:rsidP="006E19F2">
      <w:pPr>
        <w:spacing w:after="0" w:line="480" w:lineRule="auto"/>
        <w:rPr>
          <w:rFonts w:ascii="Times New Roman" w:hAnsi="Times New Roman" w:cs="Times New Roman"/>
          <w:b/>
          <w:sz w:val="24"/>
          <w:szCs w:val="24"/>
        </w:rPr>
      </w:pPr>
      <w:r w:rsidRPr="00351080">
        <w:rPr>
          <w:rFonts w:ascii="Times New Roman" w:hAnsi="Times New Roman" w:cs="Times New Roman"/>
          <w:b/>
          <w:sz w:val="24"/>
          <w:szCs w:val="24"/>
        </w:rPr>
        <w:t>Depreciation and Amortization Expense</w:t>
      </w:r>
    </w:p>
    <w:p w:rsidR="00D7647F" w:rsidRPr="00351080" w:rsidRDefault="00D7647F" w:rsidP="006E19F2">
      <w:pPr>
        <w:spacing w:after="0" w:line="480" w:lineRule="auto"/>
        <w:ind w:firstLine="1440"/>
        <w:rPr>
          <w:rFonts w:ascii="Times New Roman" w:hAnsi="Times New Roman" w:cs="Times New Roman"/>
          <w:sz w:val="24"/>
          <w:szCs w:val="24"/>
        </w:rPr>
      </w:pPr>
      <w:r w:rsidRPr="00351080">
        <w:rPr>
          <w:rFonts w:ascii="Times New Roman" w:hAnsi="Times New Roman" w:cs="Times New Roman"/>
          <w:sz w:val="24"/>
          <w:szCs w:val="24"/>
        </w:rPr>
        <w:t xml:space="preserve">Due to the increase recorded in the property, plant, and equipment as well as other assets of the company, the depreciation expenses have increased in a notable manner. These expenses were at 3277 million US dollars during the 2012 financial year.  </w:t>
      </w:r>
      <w:r w:rsidR="006154D9" w:rsidRPr="00351080">
        <w:rPr>
          <w:rFonts w:ascii="Times New Roman" w:hAnsi="Times New Roman" w:cs="Times New Roman"/>
          <w:sz w:val="24"/>
          <w:szCs w:val="24"/>
        </w:rPr>
        <w:t>In</w:t>
      </w:r>
      <w:r w:rsidRPr="00351080">
        <w:rPr>
          <w:rFonts w:ascii="Times New Roman" w:hAnsi="Times New Roman" w:cs="Times New Roman"/>
          <w:sz w:val="24"/>
          <w:szCs w:val="24"/>
        </w:rPr>
        <w:t xml:space="preserve"> the following financial year of 2013, the expenses increased to 6757 million which meant that there was an increase of </w:t>
      </w:r>
      <w:r w:rsidR="00C53563" w:rsidRPr="00351080">
        <w:rPr>
          <w:rFonts w:ascii="Times New Roman" w:hAnsi="Times New Roman" w:cs="Times New Roman"/>
          <w:sz w:val="24"/>
          <w:szCs w:val="24"/>
        </w:rPr>
        <w:t xml:space="preserve">3480 million indicating a 106.9 percent increase in expenditure. </w:t>
      </w:r>
      <w:r w:rsidR="006154D9" w:rsidRPr="00351080">
        <w:rPr>
          <w:rFonts w:ascii="Times New Roman" w:hAnsi="Times New Roman" w:cs="Times New Roman"/>
          <w:sz w:val="24"/>
          <w:szCs w:val="24"/>
        </w:rPr>
        <w:t xml:space="preserve">For the 2014 fiscal year, the expenses stood at 7946 million indicating an increase of 1189 dollars. This indicated a 17.6 percent increase. This increase in expense was attributed to the fact that there was a significant increase in assets of the company. </w:t>
      </w:r>
    </w:p>
    <w:tbl>
      <w:tblPr>
        <w:tblW w:w="9555" w:type="dxa"/>
        <w:tblInd w:w="93" w:type="dxa"/>
        <w:tblLook w:val="04A0"/>
      </w:tblPr>
      <w:tblGrid>
        <w:gridCol w:w="4335"/>
        <w:gridCol w:w="25"/>
        <w:gridCol w:w="1200"/>
        <w:gridCol w:w="15"/>
        <w:gridCol w:w="1125"/>
        <w:gridCol w:w="115"/>
        <w:gridCol w:w="1120"/>
        <w:gridCol w:w="315"/>
        <w:gridCol w:w="1050"/>
        <w:gridCol w:w="255"/>
      </w:tblGrid>
      <w:tr w:rsidR="00210B6C" w:rsidRPr="00351080" w:rsidTr="002C7B95">
        <w:trPr>
          <w:trHeight w:val="315"/>
        </w:trPr>
        <w:tc>
          <w:tcPr>
            <w:tcW w:w="4335" w:type="dxa"/>
            <w:tcBorders>
              <w:top w:val="nil"/>
              <w:left w:val="nil"/>
              <w:bottom w:val="nil"/>
              <w:right w:val="nil"/>
            </w:tcBorders>
            <w:shd w:val="clear" w:color="auto" w:fill="auto"/>
            <w:noWrap/>
            <w:vAlign w:val="bottom"/>
            <w:hideMark/>
          </w:tcPr>
          <w:p w:rsidR="00210B6C" w:rsidRPr="00351080" w:rsidRDefault="00210B6C" w:rsidP="006E19F2">
            <w:pPr>
              <w:spacing w:after="0" w:line="480" w:lineRule="auto"/>
              <w:rPr>
                <w:rFonts w:ascii="Times New Roman" w:eastAsia="Times New Roman" w:hAnsi="Times New Roman" w:cs="Times New Roman"/>
                <w:color w:val="000000"/>
                <w:sz w:val="24"/>
                <w:szCs w:val="24"/>
              </w:rPr>
            </w:pPr>
          </w:p>
        </w:tc>
        <w:tc>
          <w:tcPr>
            <w:tcW w:w="1240" w:type="dxa"/>
            <w:gridSpan w:val="3"/>
            <w:tcBorders>
              <w:top w:val="nil"/>
              <w:left w:val="nil"/>
              <w:bottom w:val="single" w:sz="4" w:space="0" w:color="auto"/>
              <w:right w:val="nil"/>
            </w:tcBorders>
            <w:shd w:val="clear" w:color="auto" w:fill="auto"/>
            <w:vAlign w:val="bottom"/>
            <w:hideMark/>
          </w:tcPr>
          <w:p w:rsidR="00210B6C" w:rsidRPr="00351080" w:rsidRDefault="00210B6C" w:rsidP="006E19F2">
            <w:pPr>
              <w:spacing w:after="0" w:line="480" w:lineRule="auto"/>
              <w:jc w:val="right"/>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2014</w:t>
            </w:r>
          </w:p>
        </w:tc>
        <w:tc>
          <w:tcPr>
            <w:tcW w:w="1240" w:type="dxa"/>
            <w:gridSpan w:val="2"/>
            <w:tcBorders>
              <w:top w:val="nil"/>
              <w:left w:val="nil"/>
              <w:bottom w:val="single" w:sz="4" w:space="0" w:color="auto"/>
              <w:right w:val="nil"/>
            </w:tcBorders>
            <w:shd w:val="clear" w:color="auto" w:fill="auto"/>
            <w:vAlign w:val="bottom"/>
            <w:hideMark/>
          </w:tcPr>
          <w:p w:rsidR="00210B6C" w:rsidRPr="00351080" w:rsidRDefault="00210B6C" w:rsidP="006E19F2">
            <w:pPr>
              <w:spacing w:after="0" w:line="480" w:lineRule="auto"/>
              <w:jc w:val="right"/>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2013</w:t>
            </w:r>
          </w:p>
        </w:tc>
        <w:tc>
          <w:tcPr>
            <w:tcW w:w="1435" w:type="dxa"/>
            <w:gridSpan w:val="2"/>
            <w:tcBorders>
              <w:top w:val="nil"/>
              <w:left w:val="nil"/>
              <w:bottom w:val="single" w:sz="4" w:space="0" w:color="auto"/>
              <w:right w:val="nil"/>
            </w:tcBorders>
            <w:shd w:val="clear" w:color="auto" w:fill="auto"/>
            <w:vAlign w:val="bottom"/>
            <w:hideMark/>
          </w:tcPr>
          <w:p w:rsidR="00210B6C" w:rsidRPr="00351080" w:rsidRDefault="00210B6C" w:rsidP="006E19F2">
            <w:pPr>
              <w:spacing w:after="0" w:line="480" w:lineRule="auto"/>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Change</w:t>
            </w:r>
          </w:p>
        </w:tc>
        <w:tc>
          <w:tcPr>
            <w:tcW w:w="1305" w:type="dxa"/>
            <w:gridSpan w:val="2"/>
            <w:tcBorders>
              <w:top w:val="nil"/>
              <w:left w:val="nil"/>
              <w:bottom w:val="single" w:sz="4" w:space="0" w:color="auto"/>
              <w:right w:val="nil"/>
            </w:tcBorders>
            <w:shd w:val="clear" w:color="auto" w:fill="auto"/>
            <w:noWrap/>
            <w:vAlign w:val="bottom"/>
            <w:hideMark/>
          </w:tcPr>
          <w:p w:rsidR="00210B6C" w:rsidRPr="00351080" w:rsidRDefault="00210B6C" w:rsidP="006E19F2">
            <w:pPr>
              <w:spacing w:after="0" w:line="480" w:lineRule="auto"/>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 Change</w:t>
            </w:r>
          </w:p>
        </w:tc>
      </w:tr>
      <w:tr w:rsidR="00210B6C" w:rsidRPr="00351080" w:rsidTr="002C7B95">
        <w:trPr>
          <w:trHeight w:val="315"/>
        </w:trPr>
        <w:tc>
          <w:tcPr>
            <w:tcW w:w="4335" w:type="dxa"/>
            <w:tcBorders>
              <w:top w:val="nil"/>
              <w:left w:val="nil"/>
              <w:bottom w:val="nil"/>
              <w:right w:val="nil"/>
            </w:tcBorders>
            <w:shd w:val="clear" w:color="auto" w:fill="auto"/>
            <w:noWrap/>
            <w:vAlign w:val="bottom"/>
            <w:hideMark/>
          </w:tcPr>
          <w:p w:rsidR="00210B6C" w:rsidRPr="00351080" w:rsidRDefault="00210B6C" w:rsidP="006E19F2">
            <w:pPr>
              <w:spacing w:after="0" w:line="480" w:lineRule="auto"/>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Depreciation and Amortization Expense</w:t>
            </w:r>
          </w:p>
        </w:tc>
        <w:tc>
          <w:tcPr>
            <w:tcW w:w="1240" w:type="dxa"/>
            <w:gridSpan w:val="3"/>
            <w:tcBorders>
              <w:top w:val="nil"/>
              <w:left w:val="nil"/>
              <w:bottom w:val="nil"/>
              <w:right w:val="nil"/>
            </w:tcBorders>
            <w:shd w:val="clear" w:color="auto" w:fill="auto"/>
            <w:noWrap/>
            <w:vAlign w:val="bottom"/>
            <w:hideMark/>
          </w:tcPr>
          <w:p w:rsidR="00210B6C" w:rsidRPr="00351080" w:rsidRDefault="00210B6C" w:rsidP="006E19F2">
            <w:pPr>
              <w:spacing w:after="0" w:line="480" w:lineRule="auto"/>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 xml:space="preserve"> $    7,946 </w:t>
            </w:r>
          </w:p>
        </w:tc>
        <w:tc>
          <w:tcPr>
            <w:tcW w:w="1240" w:type="dxa"/>
            <w:gridSpan w:val="2"/>
            <w:tcBorders>
              <w:top w:val="nil"/>
              <w:left w:val="nil"/>
              <w:bottom w:val="nil"/>
              <w:right w:val="nil"/>
            </w:tcBorders>
            <w:shd w:val="clear" w:color="auto" w:fill="auto"/>
            <w:noWrap/>
            <w:vAlign w:val="bottom"/>
            <w:hideMark/>
          </w:tcPr>
          <w:p w:rsidR="00210B6C" w:rsidRPr="00351080" w:rsidRDefault="00210B6C" w:rsidP="006E19F2">
            <w:pPr>
              <w:spacing w:after="0" w:line="480" w:lineRule="auto"/>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 xml:space="preserve"> $    6,757 </w:t>
            </w:r>
          </w:p>
        </w:tc>
        <w:tc>
          <w:tcPr>
            <w:tcW w:w="1435" w:type="dxa"/>
            <w:gridSpan w:val="2"/>
            <w:tcBorders>
              <w:top w:val="nil"/>
              <w:left w:val="nil"/>
              <w:bottom w:val="nil"/>
              <w:right w:val="nil"/>
            </w:tcBorders>
            <w:shd w:val="clear" w:color="auto" w:fill="auto"/>
            <w:noWrap/>
            <w:vAlign w:val="bottom"/>
            <w:hideMark/>
          </w:tcPr>
          <w:p w:rsidR="00210B6C" w:rsidRPr="00351080" w:rsidRDefault="00210B6C" w:rsidP="006E19F2">
            <w:pPr>
              <w:spacing w:after="0" w:line="480" w:lineRule="auto"/>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 xml:space="preserve"> $    1,189 </w:t>
            </w:r>
          </w:p>
        </w:tc>
        <w:tc>
          <w:tcPr>
            <w:tcW w:w="1305" w:type="dxa"/>
            <w:gridSpan w:val="2"/>
            <w:tcBorders>
              <w:top w:val="nil"/>
              <w:left w:val="nil"/>
              <w:bottom w:val="nil"/>
              <w:right w:val="nil"/>
            </w:tcBorders>
            <w:shd w:val="clear" w:color="auto" w:fill="auto"/>
            <w:noWrap/>
            <w:vAlign w:val="bottom"/>
            <w:hideMark/>
          </w:tcPr>
          <w:p w:rsidR="00210B6C" w:rsidRPr="00351080" w:rsidRDefault="00210B6C" w:rsidP="006E19F2">
            <w:pPr>
              <w:spacing w:after="0" w:line="480" w:lineRule="auto"/>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17.60%</w:t>
            </w:r>
          </w:p>
        </w:tc>
      </w:tr>
      <w:tr w:rsidR="002C7B95" w:rsidRPr="00351080" w:rsidTr="002C7B95">
        <w:trPr>
          <w:gridAfter w:val="1"/>
          <w:wAfter w:w="255" w:type="dxa"/>
          <w:trHeight w:val="315"/>
        </w:trPr>
        <w:tc>
          <w:tcPr>
            <w:tcW w:w="4360" w:type="dxa"/>
            <w:gridSpan w:val="2"/>
            <w:tcBorders>
              <w:top w:val="nil"/>
              <w:left w:val="nil"/>
              <w:bottom w:val="single" w:sz="4" w:space="0" w:color="auto"/>
              <w:right w:val="nil"/>
            </w:tcBorders>
            <w:shd w:val="clear" w:color="auto" w:fill="auto"/>
            <w:noWrap/>
            <w:vAlign w:val="bottom"/>
            <w:hideMark/>
          </w:tcPr>
          <w:p w:rsidR="002C7B95" w:rsidRPr="00351080" w:rsidRDefault="002C7B95" w:rsidP="006E19F2">
            <w:pPr>
              <w:spacing w:after="0" w:line="480" w:lineRule="auto"/>
              <w:rPr>
                <w:rFonts w:ascii="Times New Roman" w:eastAsia="Times New Roman" w:hAnsi="Times New Roman" w:cs="Times New Roman"/>
                <w:sz w:val="24"/>
                <w:szCs w:val="24"/>
              </w:rPr>
            </w:pPr>
            <w:r w:rsidRPr="00351080">
              <w:rPr>
                <w:rFonts w:ascii="Times New Roman" w:eastAsia="Times New Roman" w:hAnsi="Times New Roman" w:cs="Times New Roman"/>
                <w:sz w:val="24"/>
                <w:szCs w:val="24"/>
              </w:rPr>
              <w:t> </w:t>
            </w:r>
          </w:p>
        </w:tc>
        <w:tc>
          <w:tcPr>
            <w:tcW w:w="1200" w:type="dxa"/>
            <w:tcBorders>
              <w:top w:val="nil"/>
              <w:left w:val="nil"/>
              <w:bottom w:val="single" w:sz="4" w:space="0" w:color="auto"/>
              <w:right w:val="nil"/>
            </w:tcBorders>
            <w:shd w:val="clear" w:color="auto" w:fill="auto"/>
            <w:vAlign w:val="bottom"/>
            <w:hideMark/>
          </w:tcPr>
          <w:p w:rsidR="002C7B95" w:rsidRPr="00351080" w:rsidRDefault="002C7B95" w:rsidP="006E19F2">
            <w:pPr>
              <w:spacing w:after="0" w:line="480" w:lineRule="auto"/>
              <w:jc w:val="right"/>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2013</w:t>
            </w:r>
          </w:p>
        </w:tc>
        <w:tc>
          <w:tcPr>
            <w:tcW w:w="1140" w:type="dxa"/>
            <w:gridSpan w:val="2"/>
            <w:tcBorders>
              <w:top w:val="nil"/>
              <w:left w:val="nil"/>
              <w:bottom w:val="single" w:sz="4" w:space="0" w:color="auto"/>
              <w:right w:val="nil"/>
            </w:tcBorders>
            <w:shd w:val="clear" w:color="auto" w:fill="auto"/>
            <w:vAlign w:val="bottom"/>
            <w:hideMark/>
          </w:tcPr>
          <w:p w:rsidR="002C7B95" w:rsidRPr="00351080" w:rsidRDefault="002C7B95" w:rsidP="006E19F2">
            <w:pPr>
              <w:spacing w:after="0" w:line="480" w:lineRule="auto"/>
              <w:jc w:val="right"/>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2012</w:t>
            </w:r>
          </w:p>
        </w:tc>
        <w:tc>
          <w:tcPr>
            <w:tcW w:w="1235" w:type="dxa"/>
            <w:gridSpan w:val="2"/>
            <w:tcBorders>
              <w:top w:val="nil"/>
              <w:left w:val="nil"/>
              <w:bottom w:val="single" w:sz="4" w:space="0" w:color="auto"/>
              <w:right w:val="nil"/>
            </w:tcBorders>
            <w:shd w:val="clear" w:color="auto" w:fill="auto"/>
            <w:vAlign w:val="bottom"/>
            <w:hideMark/>
          </w:tcPr>
          <w:p w:rsidR="002C7B95" w:rsidRPr="00351080" w:rsidRDefault="002C7B95" w:rsidP="006E19F2">
            <w:pPr>
              <w:spacing w:after="0" w:line="480" w:lineRule="auto"/>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Change</w:t>
            </w:r>
          </w:p>
        </w:tc>
        <w:tc>
          <w:tcPr>
            <w:tcW w:w="1365" w:type="dxa"/>
            <w:gridSpan w:val="2"/>
            <w:tcBorders>
              <w:top w:val="nil"/>
              <w:left w:val="nil"/>
              <w:bottom w:val="single" w:sz="4" w:space="0" w:color="auto"/>
              <w:right w:val="nil"/>
            </w:tcBorders>
            <w:shd w:val="clear" w:color="auto" w:fill="auto"/>
            <w:noWrap/>
            <w:vAlign w:val="bottom"/>
            <w:hideMark/>
          </w:tcPr>
          <w:p w:rsidR="002C7B95" w:rsidRPr="00351080" w:rsidRDefault="002C7B95" w:rsidP="006E19F2">
            <w:pPr>
              <w:spacing w:after="0" w:line="480" w:lineRule="auto"/>
              <w:rPr>
                <w:rFonts w:ascii="Times New Roman" w:eastAsia="Times New Roman" w:hAnsi="Times New Roman" w:cs="Times New Roman"/>
                <w:b/>
                <w:bCs/>
                <w:color w:val="000000"/>
                <w:sz w:val="24"/>
                <w:szCs w:val="24"/>
              </w:rPr>
            </w:pPr>
            <w:r w:rsidRPr="00351080">
              <w:rPr>
                <w:rFonts w:ascii="Times New Roman" w:eastAsia="Times New Roman" w:hAnsi="Times New Roman" w:cs="Times New Roman"/>
                <w:b/>
                <w:bCs/>
                <w:color w:val="000000"/>
                <w:sz w:val="24"/>
                <w:szCs w:val="24"/>
              </w:rPr>
              <w:t>% Change</w:t>
            </w:r>
          </w:p>
        </w:tc>
      </w:tr>
      <w:tr w:rsidR="002C7B95" w:rsidRPr="00351080" w:rsidTr="002C7B95">
        <w:trPr>
          <w:gridAfter w:val="1"/>
          <w:wAfter w:w="255" w:type="dxa"/>
          <w:trHeight w:val="315"/>
        </w:trPr>
        <w:tc>
          <w:tcPr>
            <w:tcW w:w="4360" w:type="dxa"/>
            <w:gridSpan w:val="2"/>
            <w:tcBorders>
              <w:top w:val="nil"/>
              <w:left w:val="nil"/>
              <w:bottom w:val="nil"/>
              <w:right w:val="nil"/>
            </w:tcBorders>
            <w:shd w:val="clear" w:color="auto" w:fill="auto"/>
            <w:vAlign w:val="center"/>
            <w:hideMark/>
          </w:tcPr>
          <w:p w:rsidR="002C7B95" w:rsidRPr="00351080" w:rsidRDefault="002C7B95" w:rsidP="006E19F2">
            <w:pPr>
              <w:spacing w:after="0" w:line="480" w:lineRule="auto"/>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Depreciation and Amortization Expense</w:t>
            </w:r>
          </w:p>
        </w:tc>
        <w:tc>
          <w:tcPr>
            <w:tcW w:w="1200" w:type="dxa"/>
            <w:tcBorders>
              <w:top w:val="nil"/>
              <w:left w:val="nil"/>
              <w:bottom w:val="nil"/>
              <w:right w:val="nil"/>
            </w:tcBorders>
            <w:shd w:val="clear" w:color="auto" w:fill="auto"/>
            <w:vAlign w:val="bottom"/>
            <w:hideMark/>
          </w:tcPr>
          <w:p w:rsidR="002C7B95" w:rsidRPr="00351080" w:rsidRDefault="002C7B95" w:rsidP="006E19F2">
            <w:pPr>
              <w:spacing w:after="0" w:line="480" w:lineRule="auto"/>
              <w:jc w:val="right"/>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 xml:space="preserve"> $    6,757 </w:t>
            </w:r>
          </w:p>
        </w:tc>
        <w:tc>
          <w:tcPr>
            <w:tcW w:w="1140" w:type="dxa"/>
            <w:gridSpan w:val="2"/>
            <w:tcBorders>
              <w:top w:val="nil"/>
              <w:left w:val="nil"/>
              <w:bottom w:val="nil"/>
              <w:right w:val="nil"/>
            </w:tcBorders>
            <w:shd w:val="clear" w:color="auto" w:fill="auto"/>
            <w:vAlign w:val="bottom"/>
            <w:hideMark/>
          </w:tcPr>
          <w:p w:rsidR="002C7B95" w:rsidRPr="00351080" w:rsidRDefault="002C7B95" w:rsidP="006E19F2">
            <w:pPr>
              <w:spacing w:after="0" w:line="480" w:lineRule="auto"/>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 xml:space="preserve"> $   3,277 </w:t>
            </w:r>
          </w:p>
        </w:tc>
        <w:tc>
          <w:tcPr>
            <w:tcW w:w="1235" w:type="dxa"/>
            <w:gridSpan w:val="2"/>
            <w:tcBorders>
              <w:top w:val="nil"/>
              <w:left w:val="nil"/>
              <w:bottom w:val="nil"/>
              <w:right w:val="nil"/>
            </w:tcBorders>
            <w:shd w:val="clear" w:color="auto" w:fill="auto"/>
            <w:noWrap/>
            <w:vAlign w:val="bottom"/>
            <w:hideMark/>
          </w:tcPr>
          <w:p w:rsidR="002C7B95" w:rsidRPr="00351080" w:rsidRDefault="002C7B95" w:rsidP="006E19F2">
            <w:pPr>
              <w:spacing w:after="0" w:line="480" w:lineRule="auto"/>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 xml:space="preserve">   $ 3,480 </w:t>
            </w:r>
          </w:p>
        </w:tc>
        <w:tc>
          <w:tcPr>
            <w:tcW w:w="1365" w:type="dxa"/>
            <w:gridSpan w:val="2"/>
            <w:tcBorders>
              <w:top w:val="nil"/>
              <w:left w:val="nil"/>
              <w:bottom w:val="nil"/>
              <w:right w:val="nil"/>
            </w:tcBorders>
            <w:shd w:val="clear" w:color="auto" w:fill="auto"/>
            <w:noWrap/>
            <w:vAlign w:val="bottom"/>
            <w:hideMark/>
          </w:tcPr>
          <w:p w:rsidR="002C7B95" w:rsidRPr="00351080" w:rsidRDefault="002C7B95" w:rsidP="006E19F2">
            <w:pPr>
              <w:spacing w:after="0" w:line="480" w:lineRule="auto"/>
              <w:jc w:val="right"/>
              <w:rPr>
                <w:rFonts w:ascii="Times New Roman" w:eastAsia="Times New Roman" w:hAnsi="Times New Roman" w:cs="Times New Roman"/>
                <w:color w:val="000000"/>
                <w:sz w:val="24"/>
                <w:szCs w:val="24"/>
              </w:rPr>
            </w:pPr>
            <w:r w:rsidRPr="00351080">
              <w:rPr>
                <w:rFonts w:ascii="Times New Roman" w:eastAsia="Times New Roman" w:hAnsi="Times New Roman" w:cs="Times New Roman"/>
                <w:color w:val="000000"/>
                <w:sz w:val="24"/>
                <w:szCs w:val="24"/>
              </w:rPr>
              <w:t>106.19%</w:t>
            </w:r>
          </w:p>
        </w:tc>
      </w:tr>
    </w:tbl>
    <w:p w:rsidR="002C7B95" w:rsidRPr="00351080" w:rsidRDefault="002C7B95" w:rsidP="006E19F2">
      <w:pPr>
        <w:spacing w:after="0" w:line="480" w:lineRule="auto"/>
        <w:rPr>
          <w:rFonts w:ascii="Times New Roman" w:hAnsi="Times New Roman" w:cs="Times New Roman"/>
          <w:b/>
          <w:sz w:val="24"/>
          <w:szCs w:val="24"/>
        </w:rPr>
      </w:pPr>
    </w:p>
    <w:p w:rsidR="00D7647F" w:rsidRPr="00351080" w:rsidRDefault="00D7647F" w:rsidP="006E19F2">
      <w:pPr>
        <w:spacing w:after="0" w:line="480" w:lineRule="auto"/>
        <w:rPr>
          <w:rFonts w:ascii="Times New Roman" w:hAnsi="Times New Roman" w:cs="Times New Roman"/>
          <w:b/>
          <w:sz w:val="24"/>
          <w:szCs w:val="24"/>
        </w:rPr>
      </w:pPr>
    </w:p>
    <w:p w:rsidR="00D7647F" w:rsidRPr="00351080" w:rsidRDefault="00D7647F" w:rsidP="006E19F2">
      <w:pPr>
        <w:spacing w:after="0" w:line="480" w:lineRule="auto"/>
        <w:rPr>
          <w:rFonts w:ascii="Times New Roman" w:hAnsi="Times New Roman" w:cs="Times New Roman"/>
          <w:b/>
          <w:sz w:val="24"/>
          <w:szCs w:val="24"/>
        </w:rPr>
      </w:pPr>
    </w:p>
    <w:p w:rsidR="00D7647F" w:rsidRPr="00351080" w:rsidRDefault="00D7647F" w:rsidP="006E19F2">
      <w:pPr>
        <w:spacing w:after="0" w:line="480" w:lineRule="auto"/>
        <w:rPr>
          <w:rFonts w:ascii="Times New Roman" w:hAnsi="Times New Roman" w:cs="Times New Roman"/>
          <w:b/>
          <w:sz w:val="24"/>
          <w:szCs w:val="24"/>
        </w:rPr>
      </w:pPr>
    </w:p>
    <w:p w:rsidR="00F13D28" w:rsidRPr="00351080" w:rsidRDefault="00F13D28" w:rsidP="006E19F2">
      <w:pPr>
        <w:spacing w:after="0" w:line="480" w:lineRule="auto"/>
        <w:rPr>
          <w:rFonts w:ascii="Times New Roman" w:hAnsi="Times New Roman" w:cs="Times New Roman"/>
          <w:b/>
          <w:sz w:val="24"/>
          <w:szCs w:val="24"/>
        </w:rPr>
      </w:pPr>
      <w:r w:rsidRPr="00351080">
        <w:rPr>
          <w:rFonts w:ascii="Times New Roman" w:hAnsi="Times New Roman" w:cs="Times New Roman"/>
          <w:b/>
          <w:sz w:val="24"/>
          <w:szCs w:val="24"/>
        </w:rPr>
        <w:t>Purchase of Property, Plant and Equipment</w:t>
      </w:r>
    </w:p>
    <w:p w:rsidR="004511CE" w:rsidRPr="00351080" w:rsidRDefault="00D7647F" w:rsidP="006E19F2">
      <w:pPr>
        <w:spacing w:after="0" w:line="480" w:lineRule="auto"/>
        <w:ind w:firstLine="1440"/>
        <w:rPr>
          <w:rFonts w:ascii="Times New Roman" w:hAnsi="Times New Roman" w:cs="Times New Roman"/>
          <w:sz w:val="24"/>
          <w:szCs w:val="24"/>
        </w:rPr>
      </w:pPr>
      <w:r w:rsidRPr="00351080">
        <w:rPr>
          <w:rFonts w:ascii="Times New Roman" w:hAnsi="Times New Roman" w:cs="Times New Roman"/>
          <w:sz w:val="24"/>
          <w:szCs w:val="24"/>
        </w:rPr>
        <w:t xml:space="preserve">The expenses incurred during the purchase of the property, plant and equipment amounted to 8.3 million dollars during the 2012 financial year which illustrated a decrease of about 130 million dollars or else a 1.57 percent decrease in the following financial year; 2013. The purchase of these assets during the 2013 financial year stood at 8.2 million and it was increased by 1406 million dollars indicating a 17.22 percent increase. This thus meant that it stood at 9571 million dollars. This therefore illustrates that the company has incurred less expenses in the purchase of these assets in 2013 with higher amounts of expenses being recorded in 2014. </w:t>
      </w:r>
    </w:p>
    <w:tbl>
      <w:tblPr>
        <w:tblStyle w:val="TableGrid"/>
        <w:tblpPr w:leftFromText="180" w:rightFromText="180" w:vertAnchor="text" w:horzAnchor="margin" w:tblpXSpec="right" w:tblpY="85"/>
        <w:tblW w:w="0" w:type="auto"/>
        <w:tblLook w:val="04A0"/>
      </w:tblPr>
      <w:tblGrid>
        <w:gridCol w:w="2559"/>
        <w:gridCol w:w="1591"/>
        <w:gridCol w:w="1591"/>
        <w:gridCol w:w="1591"/>
        <w:gridCol w:w="1591"/>
      </w:tblGrid>
      <w:tr w:rsidR="00220370" w:rsidRPr="00351080" w:rsidTr="004511CE">
        <w:trPr>
          <w:trHeight w:val="811"/>
        </w:trPr>
        <w:tc>
          <w:tcPr>
            <w:tcW w:w="2559" w:type="dxa"/>
          </w:tcPr>
          <w:p w:rsidR="00220370" w:rsidRPr="00351080" w:rsidRDefault="00220370" w:rsidP="006E19F2">
            <w:pPr>
              <w:spacing w:line="480" w:lineRule="auto"/>
              <w:rPr>
                <w:rFonts w:ascii="Times New Roman" w:hAnsi="Times New Roman" w:cs="Times New Roman"/>
                <w:sz w:val="24"/>
                <w:szCs w:val="24"/>
              </w:rPr>
            </w:pPr>
          </w:p>
        </w:tc>
        <w:tc>
          <w:tcPr>
            <w:tcW w:w="1591" w:type="dxa"/>
          </w:tcPr>
          <w:p w:rsidR="00220370" w:rsidRPr="00351080" w:rsidRDefault="00220370" w:rsidP="006E19F2">
            <w:pPr>
              <w:spacing w:line="480" w:lineRule="auto"/>
              <w:rPr>
                <w:rFonts w:ascii="Times New Roman" w:hAnsi="Times New Roman" w:cs="Times New Roman"/>
                <w:sz w:val="24"/>
                <w:szCs w:val="24"/>
              </w:rPr>
            </w:pPr>
            <w:r w:rsidRPr="00351080">
              <w:rPr>
                <w:rFonts w:ascii="Times New Roman" w:hAnsi="Times New Roman" w:cs="Times New Roman"/>
                <w:sz w:val="24"/>
                <w:szCs w:val="24"/>
              </w:rPr>
              <w:t>2014</w:t>
            </w:r>
          </w:p>
        </w:tc>
        <w:tc>
          <w:tcPr>
            <w:tcW w:w="1591" w:type="dxa"/>
          </w:tcPr>
          <w:p w:rsidR="00220370" w:rsidRPr="00351080" w:rsidRDefault="00220370" w:rsidP="006E19F2">
            <w:pPr>
              <w:spacing w:line="480" w:lineRule="auto"/>
              <w:rPr>
                <w:rFonts w:ascii="Times New Roman" w:hAnsi="Times New Roman" w:cs="Times New Roman"/>
                <w:sz w:val="24"/>
                <w:szCs w:val="24"/>
              </w:rPr>
            </w:pPr>
            <w:r w:rsidRPr="00351080">
              <w:rPr>
                <w:rFonts w:ascii="Times New Roman" w:hAnsi="Times New Roman" w:cs="Times New Roman"/>
                <w:sz w:val="24"/>
                <w:szCs w:val="24"/>
              </w:rPr>
              <w:t>2013</w:t>
            </w:r>
          </w:p>
        </w:tc>
        <w:tc>
          <w:tcPr>
            <w:tcW w:w="1591" w:type="dxa"/>
          </w:tcPr>
          <w:p w:rsidR="00220370" w:rsidRPr="00351080" w:rsidRDefault="00220370" w:rsidP="006E19F2">
            <w:pPr>
              <w:spacing w:line="480" w:lineRule="auto"/>
              <w:rPr>
                <w:rFonts w:ascii="Times New Roman" w:hAnsi="Times New Roman" w:cs="Times New Roman"/>
                <w:sz w:val="24"/>
                <w:szCs w:val="24"/>
              </w:rPr>
            </w:pPr>
            <w:r w:rsidRPr="00351080">
              <w:rPr>
                <w:rFonts w:ascii="Times New Roman" w:hAnsi="Times New Roman" w:cs="Times New Roman"/>
                <w:sz w:val="24"/>
                <w:szCs w:val="24"/>
              </w:rPr>
              <w:t xml:space="preserve">Charge </w:t>
            </w:r>
          </w:p>
        </w:tc>
        <w:tc>
          <w:tcPr>
            <w:tcW w:w="1591" w:type="dxa"/>
          </w:tcPr>
          <w:p w:rsidR="00220370" w:rsidRPr="00351080" w:rsidRDefault="00220370" w:rsidP="006E19F2">
            <w:pPr>
              <w:spacing w:line="480" w:lineRule="auto"/>
              <w:rPr>
                <w:rFonts w:ascii="Times New Roman" w:hAnsi="Times New Roman" w:cs="Times New Roman"/>
                <w:sz w:val="24"/>
                <w:szCs w:val="24"/>
              </w:rPr>
            </w:pPr>
            <w:r w:rsidRPr="00351080">
              <w:rPr>
                <w:rFonts w:ascii="Times New Roman" w:hAnsi="Times New Roman" w:cs="Times New Roman"/>
                <w:sz w:val="24"/>
                <w:szCs w:val="24"/>
              </w:rPr>
              <w:t xml:space="preserve">Percentage charge </w:t>
            </w:r>
          </w:p>
        </w:tc>
      </w:tr>
      <w:tr w:rsidR="00220370" w:rsidRPr="00351080" w:rsidTr="004511CE">
        <w:trPr>
          <w:trHeight w:val="1233"/>
        </w:trPr>
        <w:tc>
          <w:tcPr>
            <w:tcW w:w="2559" w:type="dxa"/>
          </w:tcPr>
          <w:p w:rsidR="00220370" w:rsidRPr="00351080" w:rsidRDefault="00220370" w:rsidP="006E19F2">
            <w:pPr>
              <w:spacing w:line="480" w:lineRule="auto"/>
              <w:rPr>
                <w:rFonts w:ascii="Times New Roman" w:hAnsi="Times New Roman" w:cs="Times New Roman"/>
                <w:sz w:val="24"/>
                <w:szCs w:val="24"/>
              </w:rPr>
            </w:pPr>
            <w:r w:rsidRPr="00351080">
              <w:rPr>
                <w:rFonts w:ascii="Times New Roman" w:hAnsi="Times New Roman" w:cs="Times New Roman"/>
                <w:sz w:val="24"/>
                <w:szCs w:val="24"/>
              </w:rPr>
              <w:t xml:space="preserve">Purchase of plant, property, and equipment </w:t>
            </w:r>
          </w:p>
        </w:tc>
        <w:tc>
          <w:tcPr>
            <w:tcW w:w="1591" w:type="dxa"/>
          </w:tcPr>
          <w:p w:rsidR="00220370" w:rsidRPr="00351080" w:rsidRDefault="004511CE" w:rsidP="006E19F2">
            <w:pPr>
              <w:spacing w:line="480" w:lineRule="auto"/>
              <w:rPr>
                <w:rFonts w:ascii="Times New Roman" w:hAnsi="Times New Roman" w:cs="Times New Roman"/>
                <w:sz w:val="24"/>
                <w:szCs w:val="24"/>
              </w:rPr>
            </w:pPr>
            <w:r w:rsidRPr="00351080">
              <w:rPr>
                <w:rFonts w:ascii="Times New Roman" w:hAnsi="Times New Roman" w:cs="Times New Roman"/>
                <w:sz w:val="24"/>
                <w:szCs w:val="24"/>
              </w:rPr>
              <w:t>$9571</w:t>
            </w:r>
          </w:p>
        </w:tc>
        <w:tc>
          <w:tcPr>
            <w:tcW w:w="1591" w:type="dxa"/>
          </w:tcPr>
          <w:p w:rsidR="00220370" w:rsidRPr="00351080" w:rsidRDefault="004511CE" w:rsidP="006E19F2">
            <w:pPr>
              <w:spacing w:line="480" w:lineRule="auto"/>
              <w:rPr>
                <w:rFonts w:ascii="Times New Roman" w:hAnsi="Times New Roman" w:cs="Times New Roman"/>
                <w:sz w:val="24"/>
                <w:szCs w:val="24"/>
              </w:rPr>
            </w:pPr>
            <w:r w:rsidRPr="00351080">
              <w:rPr>
                <w:rFonts w:ascii="Times New Roman" w:hAnsi="Times New Roman" w:cs="Times New Roman"/>
                <w:sz w:val="24"/>
                <w:szCs w:val="24"/>
              </w:rPr>
              <w:t>$8165</w:t>
            </w:r>
          </w:p>
        </w:tc>
        <w:tc>
          <w:tcPr>
            <w:tcW w:w="1591" w:type="dxa"/>
          </w:tcPr>
          <w:p w:rsidR="00220370" w:rsidRPr="00351080" w:rsidRDefault="004511CE" w:rsidP="006E19F2">
            <w:pPr>
              <w:spacing w:line="480" w:lineRule="auto"/>
              <w:rPr>
                <w:rFonts w:ascii="Times New Roman" w:hAnsi="Times New Roman" w:cs="Times New Roman"/>
                <w:sz w:val="24"/>
                <w:szCs w:val="24"/>
              </w:rPr>
            </w:pPr>
            <w:r w:rsidRPr="00351080">
              <w:rPr>
                <w:rFonts w:ascii="Times New Roman" w:hAnsi="Times New Roman" w:cs="Times New Roman"/>
                <w:sz w:val="24"/>
                <w:szCs w:val="24"/>
              </w:rPr>
              <w:t>$1406</w:t>
            </w:r>
          </w:p>
        </w:tc>
        <w:tc>
          <w:tcPr>
            <w:tcW w:w="1591" w:type="dxa"/>
          </w:tcPr>
          <w:p w:rsidR="00220370" w:rsidRPr="00351080" w:rsidRDefault="004511CE" w:rsidP="006E19F2">
            <w:pPr>
              <w:spacing w:line="480" w:lineRule="auto"/>
              <w:rPr>
                <w:rFonts w:ascii="Times New Roman" w:hAnsi="Times New Roman" w:cs="Times New Roman"/>
                <w:sz w:val="24"/>
                <w:szCs w:val="24"/>
              </w:rPr>
            </w:pPr>
            <w:r w:rsidRPr="00351080">
              <w:rPr>
                <w:rFonts w:ascii="Times New Roman" w:hAnsi="Times New Roman" w:cs="Times New Roman"/>
                <w:sz w:val="24"/>
                <w:szCs w:val="24"/>
              </w:rPr>
              <w:t>17.22</w:t>
            </w:r>
          </w:p>
        </w:tc>
      </w:tr>
    </w:tbl>
    <w:p w:rsidR="00220370" w:rsidRPr="00351080" w:rsidRDefault="00220370" w:rsidP="006E19F2">
      <w:pPr>
        <w:spacing w:after="0" w:line="480" w:lineRule="auto"/>
        <w:rPr>
          <w:rFonts w:ascii="Times New Roman" w:hAnsi="Times New Roman" w:cs="Times New Roman"/>
          <w:sz w:val="24"/>
          <w:szCs w:val="24"/>
        </w:rPr>
      </w:pPr>
    </w:p>
    <w:p w:rsidR="00220370" w:rsidRPr="00351080" w:rsidRDefault="00220370" w:rsidP="006E19F2">
      <w:pPr>
        <w:spacing w:after="0" w:line="480" w:lineRule="auto"/>
        <w:rPr>
          <w:rFonts w:ascii="Times New Roman" w:hAnsi="Times New Roman" w:cs="Times New Roman"/>
          <w:sz w:val="24"/>
          <w:szCs w:val="24"/>
        </w:rPr>
      </w:pPr>
    </w:p>
    <w:p w:rsidR="00220370" w:rsidRPr="00351080" w:rsidRDefault="00220370" w:rsidP="006E19F2">
      <w:pPr>
        <w:spacing w:after="0" w:line="480" w:lineRule="auto"/>
        <w:rPr>
          <w:rFonts w:ascii="Times New Roman" w:hAnsi="Times New Roman" w:cs="Times New Roman"/>
          <w:sz w:val="24"/>
          <w:szCs w:val="24"/>
        </w:rPr>
      </w:pPr>
    </w:p>
    <w:p w:rsidR="00220370" w:rsidRPr="00351080" w:rsidRDefault="00220370" w:rsidP="006E19F2">
      <w:pPr>
        <w:spacing w:after="0" w:line="480" w:lineRule="auto"/>
        <w:rPr>
          <w:rFonts w:ascii="Times New Roman" w:hAnsi="Times New Roman" w:cs="Times New Roman"/>
          <w:b/>
          <w:sz w:val="24"/>
          <w:szCs w:val="24"/>
        </w:rPr>
      </w:pPr>
    </w:p>
    <w:p w:rsidR="00220370" w:rsidRPr="00351080" w:rsidRDefault="00220370" w:rsidP="006E19F2">
      <w:pPr>
        <w:spacing w:after="0" w:line="480" w:lineRule="auto"/>
        <w:rPr>
          <w:rFonts w:ascii="Times New Roman" w:hAnsi="Times New Roman" w:cs="Times New Roman"/>
          <w:b/>
          <w:sz w:val="24"/>
          <w:szCs w:val="24"/>
        </w:rPr>
      </w:pPr>
    </w:p>
    <w:p w:rsidR="00220370" w:rsidRPr="00351080" w:rsidRDefault="00220370" w:rsidP="006E19F2">
      <w:pPr>
        <w:spacing w:after="0" w:line="480" w:lineRule="auto"/>
        <w:rPr>
          <w:rFonts w:ascii="Times New Roman" w:hAnsi="Times New Roman" w:cs="Times New Roman"/>
          <w:b/>
          <w:sz w:val="24"/>
          <w:szCs w:val="24"/>
        </w:rPr>
      </w:pPr>
    </w:p>
    <w:p w:rsidR="00B70C81" w:rsidRPr="00351080" w:rsidRDefault="00291AC4" w:rsidP="006E19F2">
      <w:pPr>
        <w:spacing w:after="0" w:line="480" w:lineRule="auto"/>
        <w:rPr>
          <w:rFonts w:ascii="Times New Roman" w:hAnsi="Times New Roman" w:cs="Times New Roman"/>
          <w:b/>
          <w:sz w:val="24"/>
          <w:szCs w:val="24"/>
        </w:rPr>
      </w:pPr>
      <w:r w:rsidRPr="00351080">
        <w:rPr>
          <w:rFonts w:ascii="Times New Roman" w:hAnsi="Times New Roman" w:cs="Times New Roman"/>
          <w:b/>
          <w:sz w:val="24"/>
          <w:szCs w:val="24"/>
        </w:rPr>
        <w:lastRenderedPageBreak/>
        <w:t xml:space="preserve">Accounting </w:t>
      </w:r>
      <w:r w:rsidR="00E50CA8" w:rsidRPr="00351080">
        <w:rPr>
          <w:rFonts w:ascii="Times New Roman" w:hAnsi="Times New Roman" w:cs="Times New Roman"/>
          <w:b/>
          <w:sz w:val="24"/>
          <w:szCs w:val="24"/>
        </w:rPr>
        <w:t>for</w:t>
      </w:r>
      <w:r w:rsidRPr="00351080">
        <w:rPr>
          <w:rFonts w:ascii="Times New Roman" w:hAnsi="Times New Roman" w:cs="Times New Roman"/>
          <w:b/>
          <w:sz w:val="24"/>
          <w:szCs w:val="24"/>
        </w:rPr>
        <w:t xml:space="preserve"> Intangible Assets</w:t>
      </w:r>
      <w:r w:rsidR="00010354" w:rsidRPr="00351080">
        <w:rPr>
          <w:rFonts w:ascii="Times New Roman" w:hAnsi="Times New Roman" w:cs="Times New Roman"/>
          <w:b/>
          <w:sz w:val="24"/>
          <w:szCs w:val="24"/>
        </w:rPr>
        <w:t xml:space="preserve"> of Apple Inc</w:t>
      </w:r>
    </w:p>
    <w:p w:rsidR="00E50CA8" w:rsidRPr="00351080" w:rsidRDefault="00E50CA8" w:rsidP="006E19F2">
      <w:pPr>
        <w:spacing w:after="0" w:line="480" w:lineRule="auto"/>
        <w:ind w:firstLine="1440"/>
        <w:rPr>
          <w:rFonts w:ascii="Times New Roman" w:hAnsi="Times New Roman" w:cs="Times New Roman"/>
          <w:sz w:val="24"/>
          <w:szCs w:val="24"/>
        </w:rPr>
      </w:pPr>
      <w:r w:rsidRPr="00351080">
        <w:rPr>
          <w:rFonts w:ascii="Times New Roman" w:hAnsi="Times New Roman" w:cs="Times New Roman"/>
          <w:sz w:val="24"/>
          <w:szCs w:val="24"/>
        </w:rPr>
        <w:t>The goodwill and other intangible assets that have undefined useful</w:t>
      </w:r>
      <w:r w:rsidR="00567629">
        <w:rPr>
          <w:rFonts w:ascii="Times New Roman" w:hAnsi="Times New Roman" w:cs="Times New Roman"/>
          <w:sz w:val="24"/>
          <w:szCs w:val="24"/>
        </w:rPr>
        <w:t xml:space="preserve"> lives are tested for impairment</w:t>
      </w:r>
      <w:r w:rsidRPr="00351080">
        <w:rPr>
          <w:rFonts w:ascii="Times New Roman" w:hAnsi="Times New Roman" w:cs="Times New Roman"/>
          <w:sz w:val="24"/>
          <w:szCs w:val="24"/>
        </w:rPr>
        <w:t xml:space="preserve">. The impairment tests on these assets are carried out on annual basis or even sooner depending on the situation at hand.  The test of impairment on goodwill and other tangible assets is done during the final quarter of a financial year. </w:t>
      </w:r>
      <w:r w:rsidR="00010354" w:rsidRPr="00351080">
        <w:rPr>
          <w:rFonts w:ascii="Times New Roman" w:hAnsi="Times New Roman" w:cs="Times New Roman"/>
          <w:sz w:val="24"/>
          <w:szCs w:val="24"/>
        </w:rPr>
        <w:t>Apple</w:t>
      </w:r>
      <w:r w:rsidRPr="00351080">
        <w:rPr>
          <w:rFonts w:ascii="Times New Roman" w:hAnsi="Times New Roman" w:cs="Times New Roman"/>
          <w:sz w:val="24"/>
          <w:szCs w:val="24"/>
        </w:rPr>
        <w:t xml:space="preserve"> </w:t>
      </w:r>
      <w:r w:rsidR="00010354" w:rsidRPr="00351080">
        <w:rPr>
          <w:rFonts w:ascii="Times New Roman" w:hAnsi="Times New Roman" w:cs="Times New Roman"/>
          <w:sz w:val="24"/>
          <w:szCs w:val="24"/>
        </w:rPr>
        <w:t>Company</w:t>
      </w:r>
      <w:r w:rsidRPr="00351080">
        <w:rPr>
          <w:rFonts w:ascii="Times New Roman" w:hAnsi="Times New Roman" w:cs="Times New Roman"/>
          <w:sz w:val="24"/>
          <w:szCs w:val="24"/>
        </w:rPr>
        <w:t xml:space="preserve"> amortizes the acquired intangible assets with a defined useful life over a period </w:t>
      </w:r>
      <w:r w:rsidR="00010354" w:rsidRPr="00351080">
        <w:rPr>
          <w:rFonts w:ascii="Times New Roman" w:hAnsi="Times New Roman" w:cs="Times New Roman"/>
          <w:sz w:val="24"/>
          <w:szCs w:val="24"/>
        </w:rPr>
        <w:t xml:space="preserve">of time; normally between three to seven years. Therefore, from the above analysis, it is clear that Apple Inc. imposed no impairment charges on goodwill and other intangible assets with a defined useful life in the financial year 2014. </w:t>
      </w:r>
    </w:p>
    <w:p w:rsidR="00B70C81" w:rsidRPr="00351080" w:rsidRDefault="00B70C81" w:rsidP="006E19F2">
      <w:pPr>
        <w:spacing w:after="0" w:line="480" w:lineRule="auto"/>
        <w:rPr>
          <w:rFonts w:ascii="Times New Roman" w:hAnsi="Times New Roman" w:cs="Times New Roman"/>
          <w:sz w:val="24"/>
          <w:szCs w:val="24"/>
        </w:rPr>
      </w:pPr>
    </w:p>
    <w:p w:rsidR="008C15EE" w:rsidRPr="00351080" w:rsidRDefault="008C15EE" w:rsidP="006E19F2">
      <w:pPr>
        <w:spacing w:after="0" w:line="480" w:lineRule="auto"/>
        <w:rPr>
          <w:rFonts w:ascii="Times New Roman" w:hAnsi="Times New Roman" w:cs="Times New Roman"/>
          <w:sz w:val="24"/>
          <w:szCs w:val="24"/>
        </w:rPr>
      </w:pPr>
    </w:p>
    <w:p w:rsidR="00EF3CE0" w:rsidRPr="00351080" w:rsidRDefault="00EF3CE0" w:rsidP="006E19F2">
      <w:pPr>
        <w:spacing w:line="480" w:lineRule="auto"/>
        <w:rPr>
          <w:rFonts w:ascii="Times New Roman" w:hAnsi="Times New Roman" w:cs="Times New Roman"/>
          <w:b/>
          <w:sz w:val="24"/>
          <w:szCs w:val="24"/>
        </w:rPr>
      </w:pPr>
      <w:bookmarkStart w:id="0" w:name="_GoBack"/>
      <w:bookmarkEnd w:id="0"/>
      <w:r w:rsidRPr="00351080">
        <w:rPr>
          <w:rFonts w:ascii="Times New Roman" w:hAnsi="Times New Roman" w:cs="Times New Roman"/>
          <w:b/>
          <w:sz w:val="24"/>
          <w:szCs w:val="24"/>
        </w:rPr>
        <w:br w:type="page"/>
      </w:r>
    </w:p>
    <w:p w:rsidR="00B70C81" w:rsidRPr="00351080" w:rsidRDefault="00291AC4" w:rsidP="006E19F2">
      <w:pPr>
        <w:spacing w:after="0" w:line="480" w:lineRule="auto"/>
        <w:jc w:val="center"/>
        <w:rPr>
          <w:rFonts w:ascii="Times New Roman" w:hAnsi="Times New Roman" w:cs="Times New Roman"/>
          <w:b/>
          <w:sz w:val="24"/>
          <w:szCs w:val="24"/>
        </w:rPr>
      </w:pPr>
      <w:r w:rsidRPr="00351080">
        <w:rPr>
          <w:rFonts w:ascii="Times New Roman" w:hAnsi="Times New Roman" w:cs="Times New Roman"/>
          <w:b/>
          <w:sz w:val="24"/>
          <w:szCs w:val="24"/>
        </w:rPr>
        <w:lastRenderedPageBreak/>
        <w:t>References</w:t>
      </w:r>
    </w:p>
    <w:p w:rsidR="00291AC4" w:rsidRPr="00351080" w:rsidRDefault="00291AC4" w:rsidP="006E19F2">
      <w:pPr>
        <w:spacing w:after="0" w:line="480" w:lineRule="auto"/>
        <w:rPr>
          <w:rFonts w:ascii="Times New Roman" w:hAnsi="Times New Roman" w:cs="Times New Roman"/>
          <w:sz w:val="24"/>
          <w:szCs w:val="24"/>
        </w:rPr>
      </w:pPr>
      <w:r w:rsidRPr="00351080">
        <w:rPr>
          <w:rFonts w:ascii="Times New Roman" w:hAnsi="Times New Roman" w:cs="Times New Roman"/>
          <w:sz w:val="24"/>
          <w:szCs w:val="24"/>
        </w:rPr>
        <w:t xml:space="preserve">Form 10-K. Apple, Inc. (2014) Retrieved from: </w:t>
      </w:r>
    </w:p>
    <w:p w:rsidR="00291AC4" w:rsidRPr="00351080" w:rsidRDefault="007613F8" w:rsidP="006E19F2">
      <w:pPr>
        <w:spacing w:after="0" w:line="480" w:lineRule="auto"/>
        <w:ind w:firstLine="720"/>
        <w:rPr>
          <w:rFonts w:ascii="Times New Roman" w:hAnsi="Times New Roman" w:cs="Times New Roman"/>
          <w:sz w:val="24"/>
          <w:szCs w:val="24"/>
        </w:rPr>
      </w:pPr>
      <w:hyperlink r:id="rId6" w:history="1">
        <w:r w:rsidR="00291AC4" w:rsidRPr="00351080">
          <w:rPr>
            <w:rStyle w:val="Hyperlink"/>
            <w:rFonts w:ascii="Times New Roman" w:hAnsi="Times New Roman" w:cs="Times New Roman"/>
            <w:color w:val="auto"/>
            <w:sz w:val="24"/>
            <w:szCs w:val="24"/>
            <w:u w:val="none"/>
          </w:rPr>
          <w:t>https://www.sec.gov/Archives/edgar/data/320193/000119312514383437/d783162d10k.ht</w:t>
        </w:r>
      </w:hyperlink>
    </w:p>
    <w:p w:rsidR="00291AC4" w:rsidRPr="00351080" w:rsidRDefault="00291AC4" w:rsidP="006E19F2">
      <w:pPr>
        <w:spacing w:after="0" w:line="480" w:lineRule="auto"/>
        <w:ind w:firstLine="720"/>
        <w:rPr>
          <w:rFonts w:ascii="Times New Roman" w:hAnsi="Times New Roman" w:cs="Times New Roman"/>
          <w:sz w:val="24"/>
          <w:szCs w:val="24"/>
        </w:rPr>
      </w:pPr>
      <w:r w:rsidRPr="00351080">
        <w:rPr>
          <w:rFonts w:ascii="Times New Roman" w:hAnsi="Times New Roman" w:cs="Times New Roman"/>
          <w:sz w:val="24"/>
          <w:szCs w:val="24"/>
        </w:rPr>
        <w:t>m#toc783162_11</w:t>
      </w:r>
    </w:p>
    <w:p w:rsidR="00B70C81" w:rsidRPr="00351080" w:rsidRDefault="00B70C81" w:rsidP="006E19F2">
      <w:pPr>
        <w:spacing w:after="0" w:line="480" w:lineRule="auto"/>
        <w:rPr>
          <w:rFonts w:ascii="Times New Roman" w:hAnsi="Times New Roman" w:cs="Times New Roman"/>
          <w:sz w:val="24"/>
          <w:szCs w:val="24"/>
        </w:rPr>
      </w:pPr>
    </w:p>
    <w:p w:rsidR="00E13078" w:rsidRPr="00351080" w:rsidRDefault="00E13078" w:rsidP="006E19F2">
      <w:pPr>
        <w:spacing w:after="0" w:line="480" w:lineRule="auto"/>
        <w:rPr>
          <w:rFonts w:ascii="Times New Roman" w:hAnsi="Times New Roman" w:cs="Times New Roman"/>
          <w:sz w:val="24"/>
          <w:szCs w:val="24"/>
        </w:rPr>
      </w:pPr>
    </w:p>
    <w:sectPr w:rsidR="00E13078" w:rsidRPr="00351080" w:rsidSect="008C15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3DAD" w:rsidRDefault="00BB3DAD" w:rsidP="00E13078">
      <w:pPr>
        <w:spacing w:after="0" w:line="240" w:lineRule="auto"/>
      </w:pPr>
      <w:r>
        <w:separator/>
      </w:r>
    </w:p>
  </w:endnote>
  <w:endnote w:type="continuationSeparator" w:id="1">
    <w:p w:rsidR="00BB3DAD" w:rsidRDefault="00BB3DAD" w:rsidP="00E130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3DAD" w:rsidRDefault="00BB3DAD" w:rsidP="00E13078">
      <w:pPr>
        <w:spacing w:after="0" w:line="240" w:lineRule="auto"/>
      </w:pPr>
      <w:r>
        <w:separator/>
      </w:r>
    </w:p>
  </w:footnote>
  <w:footnote w:type="continuationSeparator" w:id="1">
    <w:p w:rsidR="00BB3DAD" w:rsidRDefault="00BB3DAD" w:rsidP="00E130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7F" w:rsidRPr="00820180" w:rsidRDefault="00D7647F" w:rsidP="00820180">
    <w:pPr>
      <w:pStyle w:val="Header"/>
      <w:spacing w:line="480" w:lineRule="auto"/>
      <w:jc w:val="right"/>
      <w:rPr>
        <w:rFonts w:ascii="Times New Roman" w:hAnsi="Times New Roman" w:cs="Times New Roman"/>
        <w:sz w:val="24"/>
        <w:szCs w:val="24"/>
      </w:rPr>
    </w:pPr>
    <w:r w:rsidRPr="00820180">
      <w:rPr>
        <w:rFonts w:ascii="Times New Roman" w:hAnsi="Times New Roman" w:cs="Times New Roman"/>
        <w:sz w:val="24"/>
        <w:szCs w:val="24"/>
      </w:rPr>
      <w:t>APPLE INC. FINANCIAL ANALYSIS</w:t>
    </w:r>
    <w:r w:rsidRPr="00820180">
      <w:rPr>
        <w:rFonts w:ascii="Times New Roman" w:hAnsi="Times New Roman" w:cs="Times New Roman"/>
        <w:sz w:val="24"/>
        <w:szCs w:val="24"/>
      </w:rPr>
      <w:tab/>
    </w:r>
    <w:r w:rsidRPr="00820180">
      <w:rPr>
        <w:rFonts w:ascii="Times New Roman" w:hAnsi="Times New Roman" w:cs="Times New Roman"/>
        <w:sz w:val="24"/>
        <w:szCs w:val="24"/>
      </w:rPr>
      <w:tab/>
    </w:r>
    <w:sdt>
      <w:sdtPr>
        <w:rPr>
          <w:rFonts w:ascii="Times New Roman" w:hAnsi="Times New Roman" w:cs="Times New Roman"/>
          <w:sz w:val="24"/>
          <w:szCs w:val="24"/>
        </w:rPr>
        <w:id w:val="19703337"/>
        <w:docPartObj>
          <w:docPartGallery w:val="Page Numbers (Top of Page)"/>
          <w:docPartUnique/>
        </w:docPartObj>
      </w:sdtPr>
      <w:sdtContent>
        <w:r w:rsidR="007613F8" w:rsidRPr="00820180">
          <w:rPr>
            <w:rFonts w:ascii="Times New Roman" w:hAnsi="Times New Roman" w:cs="Times New Roman"/>
            <w:sz w:val="24"/>
            <w:szCs w:val="24"/>
          </w:rPr>
          <w:fldChar w:fldCharType="begin"/>
        </w:r>
        <w:r w:rsidRPr="00820180">
          <w:rPr>
            <w:rFonts w:ascii="Times New Roman" w:hAnsi="Times New Roman" w:cs="Times New Roman"/>
            <w:sz w:val="24"/>
            <w:szCs w:val="24"/>
          </w:rPr>
          <w:instrText xml:space="preserve"> PAGE   \* MERGEFORMAT </w:instrText>
        </w:r>
        <w:r w:rsidR="007613F8" w:rsidRPr="00820180">
          <w:rPr>
            <w:rFonts w:ascii="Times New Roman" w:hAnsi="Times New Roman" w:cs="Times New Roman"/>
            <w:sz w:val="24"/>
            <w:szCs w:val="24"/>
          </w:rPr>
          <w:fldChar w:fldCharType="separate"/>
        </w:r>
        <w:r w:rsidR="00226DEC">
          <w:rPr>
            <w:rFonts w:ascii="Times New Roman" w:hAnsi="Times New Roman" w:cs="Times New Roman"/>
            <w:noProof/>
            <w:sz w:val="24"/>
            <w:szCs w:val="24"/>
          </w:rPr>
          <w:t>5</w:t>
        </w:r>
        <w:r w:rsidR="007613F8" w:rsidRPr="00820180">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7F" w:rsidRPr="008C15EE" w:rsidRDefault="00D7647F" w:rsidP="00820180">
    <w:pPr>
      <w:pStyle w:val="Header"/>
      <w:spacing w:line="480" w:lineRule="auto"/>
      <w:jc w:val="right"/>
      <w:rPr>
        <w:rFonts w:ascii="Times New Roman" w:hAnsi="Times New Roman" w:cs="Times New Roman"/>
        <w:sz w:val="24"/>
        <w:szCs w:val="24"/>
      </w:rPr>
    </w:pPr>
    <w:r w:rsidRPr="00820180">
      <w:rPr>
        <w:rFonts w:ascii="Times New Roman" w:hAnsi="Times New Roman" w:cs="Times New Roman"/>
        <w:sz w:val="24"/>
        <w:szCs w:val="24"/>
      </w:rPr>
      <w:t xml:space="preserve">Running Head: APPLE INC. FINANCIAL ANALYSIS </w:t>
    </w:r>
    <w:r w:rsidRPr="00820180">
      <w:rPr>
        <w:rFonts w:ascii="Times New Roman" w:hAnsi="Times New Roman" w:cs="Times New Roman"/>
        <w:sz w:val="24"/>
        <w:szCs w:val="24"/>
      </w:rPr>
      <w:tab/>
    </w:r>
    <w:r w:rsidRPr="00820180">
      <w:rPr>
        <w:rFonts w:ascii="Times New Roman" w:hAnsi="Times New Roman" w:cs="Times New Roman"/>
        <w:sz w:val="24"/>
        <w:szCs w:val="24"/>
      </w:rPr>
      <w:tab/>
    </w:r>
    <w:sdt>
      <w:sdtPr>
        <w:rPr>
          <w:rFonts w:ascii="Times New Roman" w:hAnsi="Times New Roman" w:cs="Times New Roman"/>
          <w:sz w:val="24"/>
          <w:szCs w:val="24"/>
        </w:rPr>
        <w:id w:val="19703266"/>
        <w:docPartObj>
          <w:docPartGallery w:val="Page Numbers (Top of Page)"/>
          <w:docPartUnique/>
        </w:docPartObj>
      </w:sdtPr>
      <w:sdtContent>
        <w:r w:rsidR="007613F8" w:rsidRPr="00820180">
          <w:rPr>
            <w:rFonts w:ascii="Times New Roman" w:hAnsi="Times New Roman" w:cs="Times New Roman"/>
            <w:sz w:val="24"/>
            <w:szCs w:val="24"/>
          </w:rPr>
          <w:fldChar w:fldCharType="begin"/>
        </w:r>
        <w:r w:rsidRPr="00820180">
          <w:rPr>
            <w:rFonts w:ascii="Times New Roman" w:hAnsi="Times New Roman" w:cs="Times New Roman"/>
            <w:sz w:val="24"/>
            <w:szCs w:val="24"/>
          </w:rPr>
          <w:instrText xml:space="preserve"> PAGE   \* MERGEFORMAT </w:instrText>
        </w:r>
        <w:r w:rsidR="007613F8" w:rsidRPr="00820180">
          <w:rPr>
            <w:rFonts w:ascii="Times New Roman" w:hAnsi="Times New Roman" w:cs="Times New Roman"/>
            <w:sz w:val="24"/>
            <w:szCs w:val="24"/>
          </w:rPr>
          <w:fldChar w:fldCharType="separate"/>
        </w:r>
        <w:r w:rsidR="00226DEC">
          <w:rPr>
            <w:rFonts w:ascii="Times New Roman" w:hAnsi="Times New Roman" w:cs="Times New Roman"/>
            <w:noProof/>
            <w:sz w:val="24"/>
            <w:szCs w:val="24"/>
          </w:rPr>
          <w:t>1</w:t>
        </w:r>
        <w:r w:rsidR="007613F8" w:rsidRPr="0082018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13078"/>
    <w:rsid w:val="00010354"/>
    <w:rsid w:val="00093FD9"/>
    <w:rsid w:val="000E4B84"/>
    <w:rsid w:val="000F6A48"/>
    <w:rsid w:val="00180046"/>
    <w:rsid w:val="00210B6C"/>
    <w:rsid w:val="00220370"/>
    <w:rsid w:val="00226DEC"/>
    <w:rsid w:val="00291AC4"/>
    <w:rsid w:val="002C7B95"/>
    <w:rsid w:val="00321DED"/>
    <w:rsid w:val="003233CB"/>
    <w:rsid w:val="00351080"/>
    <w:rsid w:val="003918D9"/>
    <w:rsid w:val="004375FC"/>
    <w:rsid w:val="004511CE"/>
    <w:rsid w:val="004775C1"/>
    <w:rsid w:val="004C20AD"/>
    <w:rsid w:val="004E49BA"/>
    <w:rsid w:val="00526957"/>
    <w:rsid w:val="00567629"/>
    <w:rsid w:val="006154D9"/>
    <w:rsid w:val="00684F3B"/>
    <w:rsid w:val="006E19F2"/>
    <w:rsid w:val="007507B7"/>
    <w:rsid w:val="007613F8"/>
    <w:rsid w:val="007F76C0"/>
    <w:rsid w:val="00820180"/>
    <w:rsid w:val="00856498"/>
    <w:rsid w:val="00857BAA"/>
    <w:rsid w:val="008603AF"/>
    <w:rsid w:val="008652E2"/>
    <w:rsid w:val="008938D7"/>
    <w:rsid w:val="008C15EE"/>
    <w:rsid w:val="008F1E56"/>
    <w:rsid w:val="008F75BB"/>
    <w:rsid w:val="00985371"/>
    <w:rsid w:val="00A84ACC"/>
    <w:rsid w:val="00AB66CC"/>
    <w:rsid w:val="00AE4149"/>
    <w:rsid w:val="00B70C81"/>
    <w:rsid w:val="00BB3DAD"/>
    <w:rsid w:val="00BB78F3"/>
    <w:rsid w:val="00BE2B8E"/>
    <w:rsid w:val="00C53563"/>
    <w:rsid w:val="00C948AC"/>
    <w:rsid w:val="00D7647F"/>
    <w:rsid w:val="00DB45A0"/>
    <w:rsid w:val="00DC3288"/>
    <w:rsid w:val="00E13078"/>
    <w:rsid w:val="00E46832"/>
    <w:rsid w:val="00E50CA8"/>
    <w:rsid w:val="00ED5ED2"/>
    <w:rsid w:val="00EF3CE0"/>
    <w:rsid w:val="00F13D28"/>
    <w:rsid w:val="00FA1FC6"/>
    <w:rsid w:val="00FA32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6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078"/>
  </w:style>
  <w:style w:type="paragraph" w:styleId="Footer">
    <w:name w:val="footer"/>
    <w:basedOn w:val="Normal"/>
    <w:link w:val="FooterChar"/>
    <w:uiPriority w:val="99"/>
    <w:unhideWhenUsed/>
    <w:rsid w:val="00E13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078"/>
  </w:style>
  <w:style w:type="paragraph" w:styleId="NormalWeb">
    <w:name w:val="Normal (Web)"/>
    <w:basedOn w:val="Normal"/>
    <w:uiPriority w:val="99"/>
    <w:unhideWhenUsed/>
    <w:rsid w:val="004375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91AC4"/>
    <w:rPr>
      <w:color w:val="0000FF" w:themeColor="hyperlink"/>
      <w:u w:val="single"/>
    </w:rPr>
  </w:style>
  <w:style w:type="table" w:styleId="TableGrid">
    <w:name w:val="Table Grid"/>
    <w:basedOn w:val="TableNormal"/>
    <w:uiPriority w:val="59"/>
    <w:rsid w:val="0022037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078"/>
  </w:style>
  <w:style w:type="paragraph" w:styleId="Footer">
    <w:name w:val="footer"/>
    <w:basedOn w:val="Normal"/>
    <w:link w:val="FooterChar"/>
    <w:uiPriority w:val="99"/>
    <w:unhideWhenUsed/>
    <w:rsid w:val="00E13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078"/>
  </w:style>
  <w:style w:type="paragraph" w:styleId="NormalWeb">
    <w:name w:val="Normal (Web)"/>
    <w:basedOn w:val="Normal"/>
    <w:uiPriority w:val="99"/>
    <w:unhideWhenUsed/>
    <w:rsid w:val="004375F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91AC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12976509">
      <w:bodyDiv w:val="1"/>
      <w:marLeft w:val="0"/>
      <w:marRight w:val="0"/>
      <w:marTop w:val="0"/>
      <w:marBottom w:val="0"/>
      <w:divBdr>
        <w:top w:val="none" w:sz="0" w:space="0" w:color="auto"/>
        <w:left w:val="none" w:sz="0" w:space="0" w:color="auto"/>
        <w:bottom w:val="none" w:sz="0" w:space="0" w:color="auto"/>
        <w:right w:val="none" w:sz="0" w:space="0" w:color="auto"/>
      </w:divBdr>
    </w:div>
    <w:div w:id="947934634">
      <w:bodyDiv w:val="1"/>
      <w:marLeft w:val="0"/>
      <w:marRight w:val="0"/>
      <w:marTop w:val="0"/>
      <w:marBottom w:val="0"/>
      <w:divBdr>
        <w:top w:val="none" w:sz="0" w:space="0" w:color="auto"/>
        <w:left w:val="none" w:sz="0" w:space="0" w:color="auto"/>
        <w:bottom w:val="none" w:sz="0" w:space="0" w:color="auto"/>
        <w:right w:val="none" w:sz="0" w:space="0" w:color="auto"/>
      </w:divBdr>
    </w:div>
    <w:div w:id="1652833908">
      <w:bodyDiv w:val="1"/>
      <w:marLeft w:val="0"/>
      <w:marRight w:val="0"/>
      <w:marTop w:val="0"/>
      <w:marBottom w:val="0"/>
      <w:divBdr>
        <w:top w:val="none" w:sz="0" w:space="0" w:color="auto"/>
        <w:left w:val="none" w:sz="0" w:space="0" w:color="auto"/>
        <w:bottom w:val="none" w:sz="0" w:space="0" w:color="auto"/>
        <w:right w:val="none" w:sz="0" w:space="0" w:color="auto"/>
      </w:divBdr>
    </w:div>
    <w:div w:id="1724523899">
      <w:bodyDiv w:val="1"/>
      <w:marLeft w:val="0"/>
      <w:marRight w:val="0"/>
      <w:marTop w:val="0"/>
      <w:marBottom w:val="0"/>
      <w:divBdr>
        <w:top w:val="none" w:sz="0" w:space="0" w:color="auto"/>
        <w:left w:val="none" w:sz="0" w:space="0" w:color="auto"/>
        <w:bottom w:val="none" w:sz="0" w:space="0" w:color="auto"/>
        <w:right w:val="none" w:sz="0" w:space="0" w:color="auto"/>
      </w:divBdr>
    </w:div>
    <w:div w:id="1990933888">
      <w:bodyDiv w:val="1"/>
      <w:marLeft w:val="0"/>
      <w:marRight w:val="0"/>
      <w:marTop w:val="0"/>
      <w:marBottom w:val="0"/>
      <w:divBdr>
        <w:top w:val="none" w:sz="0" w:space="0" w:color="auto"/>
        <w:left w:val="none" w:sz="0" w:space="0" w:color="auto"/>
        <w:bottom w:val="none" w:sz="0" w:space="0" w:color="auto"/>
        <w:right w:val="none" w:sz="0" w:space="0" w:color="auto"/>
      </w:divBdr>
    </w:div>
    <w:div w:id="212442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c.gov/Archives/edgar/data/320193/000119312514383437/d783162d10k.ht"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dc:creator>
  <cp:lastModifiedBy>earnerst</cp:lastModifiedBy>
  <cp:revision>2</cp:revision>
  <dcterms:created xsi:type="dcterms:W3CDTF">2017-03-07T14:04:00Z</dcterms:created>
  <dcterms:modified xsi:type="dcterms:W3CDTF">2017-03-07T14:04:00Z</dcterms:modified>
</cp:coreProperties>
</file>