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Journal of Finance and Accountancy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Mergers and Acquisitions of Small Businesses in a Troubled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Economy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Randall L. Hartman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Lock Haven University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Abstract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lack of funding available for small businesses to acquire new businesses and the lack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of attractiveness of businesses to be acquired has limited the number of small business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acquisitions. Those with cash, financing or value in their current business are in a position to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move forward in acquiring or merging with another small business. The purchasing business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can, because of the troubled economy, usually obtain the target business at a discounted value.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This is the case whether the target is a troubled business or is not a troubled business.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Successful businesses may also wish to examine target companies that are carrying net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operating losses so they can take advantage of the post acquisition tax benefit provided by IRC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Section 172, Net Operating Loss Deduction. Advisors to a buyer in these circumstances must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also be aware of IRC Section 382, Limitation on Net Operating Loss Carryforwards. Section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382 limits certain built-in losses following ownership change. Purchasers must be on the lookout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for diminished assets on the balance sheet that are worth less than the value on the tax basis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balance sheet.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This article will address issues that must be addressed by a prudent buyer during and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negotiation or due diligence review. Attorneys advising buyers should be aware of the pitfalls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and present alternative planning possibilities to protect their client. While it is almost impossible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to present an all-inclusive checklist of potential risks, the article discusses some of the more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obvious disasters and what can be done about them.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Keywords: Mergers, Acquisitions, Small Business, Buyer, Seller, Due Diligence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Mergers and Acquisitions, Page 1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Journal of Finance and Accountancy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Introduction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Acquiring a small business during times of economic hardship offers opportunity for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those with cash and value to purchase those businesses. Lenders have been cautious with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providing funds for small businesses and prospective acquirers must be vigilant in their due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diligence. This is the case regardless if the client is seeking funds from a lender or using their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own capital.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Some of the areas of the target companies that must be examined and investigated to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protect lenders and clients will be reviewed. The major areas discussed in this article are: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1. Receivables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2. Debt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3. Investments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4. Inventory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5. Equipment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6. Real Property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7. Intellectual Property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8. Warranties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Receivables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While the current economy has discounted the price of many of the current small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businesses on the market, much care must be taken to insure the value for a prospective buyer.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One of the major focuses should be on Accounts Receivable. The Net Receivables on the books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may have little to do with the ability to collect those receivables. There is a domino effect of a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troubled economy and one of the reasons a current seller is ready to dispose of his business may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be because of trouble collecting the firms receivables and a diminished cash flow that will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accompany the slow collection of receivables.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 detailed aging of the accounts receivable is a starting point for analysis of their value.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aging should be examined along with a schedule of bad debts that have been written off and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change of percentage of receivables being deemed uncollectable must be reviewed to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determine any negative trends in receivable collection.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 more thorough evaluation of collectability must be undertaken after the initial analysis.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Customers with large delinquent balances must be contacted to determine the collectability of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their balances. This of course would be done after consent by the seller in the normal course of a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lastRenderedPageBreak/>
        <w:t xml:space="preserve">non-disclosure due diligence agreement. Reliance on the customer is just the first step in helping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client evaluate the value of the receivables. A search of the bankruptcy filings in the Federal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District Court for any of the targets customers would also be in order along with a review of Dun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and Bradstreet for any negative comments and reports.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Another potential trap that needs thorough investigation is the possibility of preference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>claims made by the target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>s customers during the customers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bankruptcy (Bankruptcy Code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547). The bankruptcy code provides for a preference claim which can have payments made by a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debtor pulled back into the bankruptcy estate. There are defenses to the preference claims which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would protect the target or the buyer should customers file for bankruptcy.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Mergers and Acquisitions, Page 2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Journal of Finance and Accountancy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One of the defenses can be made if the payments were made in the ordinary course of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business between the creditor (target) and the debtor (customer) (Bankruptcy Code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547(c)(2)).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This defense also includes payments made according to terms that are customary in the industry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of the target. Another defense is the contemporaneous exchange for new value. (Banruptcy Code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547(c)(1)) This defense is raised when the debtor and creditor intended the exchange for new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value to be contemporaneous. Care must be taken to demonstrate that the payments are not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being applied to aging receivables. It would also be wise if the target would take a purchase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money security interest in the goods being transferred to its customers (Bankruptcy Code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547(c)(3)). This strategy would give rise to the enabling loan exception defense. As with all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defenses, there are timing issues and other requirements that must be followed to be successful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raising these defenses to a preference claim.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Having this information will help the client discount the value of the receivables in both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setting the price for the business and in determining the correct book value of those receivables.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If there is doubt about the collectability or uncertainty about successfully defending any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preference claims, the buyer should seek to have the seller bear a burden for un-collectability by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lastRenderedPageBreak/>
        <w:t xml:space="preserve">reducing the purchase price of the target based on unpaid receivables or successful preference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claims.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Debt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Has the total debt of the target been adequately identified and how much of it is being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assumed by the purchaser? These are two very important questions in a troubled economy. All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debt instruments should be reviewed. These include all notes, any debentures, and term loans.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Any security agreements, mortgages, deeds of trust, consignment agreements, liens and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encumbrances on any assets as well as purchase money security interests created by the target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must also be reviewed.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Great care should also be taken in reviewing the targets compliance with any restrictive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loan covenants and terms contained in the security instruments. Depending on the terms of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ownership transfer the mere change of business ownership may trigger acceleration clauses in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notes or security agreements. These issues should be addressed prior to finalization of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transfer and addressed with the lender.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Any tax deficiencies must also be identified. Were any audits conducted on the target by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any taxing authority or are there any notices of planned tax audits? If the target is a multi-state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operation, all state income tax returns should be compared to the states where the corporation is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qualified and does business.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 big part of the value to your client may be acquiring any loss carryovers from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target. If your client is a successful business, being able to reduce the tax burden is an attractive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feature of purchasing a business with federal and state loss carryovers. Great care must be taken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 evaluating the carryovers. IRC Section 382 places limitation on the amount of loss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acquiring corporation can take after a change in ownership. One of the restrictions is that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total available losses are written down to the fair value of the corporation at the date of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change in ownership. In an effort to keep the fair value at a maximum amount, owners would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make capital contributions to the corporation to maintain its value. Congress, wishing to limit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amount of the loss carryover, in Section 382(l)(1)(A) &amp; (B) provided capital contributions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are disregarded if part of a plan to avoid or limit the reductions of Section 382 and any capital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lastRenderedPageBreak/>
        <w:t xml:space="preserve">Mergers and Acquisitions, Page 3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Journal of Finance and Accountancy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contribution within two years of the ownership change is presumed to be part of a plan to avoid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or limit the reductions (IRC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382).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Two important points when advising clients are to make sure there were not capital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contributions to the target in the last two years and that the annual amount of the loss carryovers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will be limited to the amount of the fair value of the target times the long-term tax-exempt rate.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Investments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Does the company have an equity position in any other company? The value of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investment being carried on the books of the target is very important when determining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purchase price or structure of the business combination. Care must be taken to make sure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target has correctly valued the investment. A worthless investment being carried on the books at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purchase price or an unrealistic fair value could inflate the consideration requested from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target.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Another consideration when dealing with the targets investments focus on buy-sell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agreements or any other commitments regarding the purchase or sale of any investments.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Finding out about the targets obligation in a stock purchase subscription after settlement could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prove disastrous if the new owners must generate cash to purchase equity of other companies.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terms of any buy-sell agreement could also put the new company in a position of having to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liquidate some of its investments at a previously agreed upon price which is lower than fair value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or if the company is required to purchase some investments at a price higher than fair value.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Inventory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 very careful physical examination of the targets inventory must be made to determine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if any outdated, stale, or useless items are included in the value of the inventory used when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computing the price value of the target. Close examination of the work in process inventory and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how it is determined must also be undertaken.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lastRenderedPageBreak/>
        <w:t xml:space="preserve">Included in the determination of outdated, stale or useless products, an evaluation of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seasonal sales cycles, not only for obsolescence, but also for availability of product for current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and upcoming cycles must be done. Purchase or combination with a company that is not ready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to meet the demand of the next sales cycle may result in a drastically reduce revenue stream.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Further, an analysis of individual inventory item turnover and a comparison to available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inventory will reveal the ability to fulfill the demand for popular or fast selling product. Much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like the seasonality analysis, the target should have adequate product to meet the immediate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demand of the market place.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Equipment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If the target is a manufacturing company, close evaluation of the machinery and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equipment must be done. Is the equipment operating efficiently in its production of product?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client must obtain detailed records of operating costs and determine the total cost per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product line and item. Comparison to industry data can provide useful information in evaluating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efficiency of the machinery and equipment. Maintenance and replacement schedules should also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be obtained along with any agreements that relate to either the maintenance or replacement.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Mergers and Acquisitions, Page 4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Journal of Finance and Accountancy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Repair, maintenance and productivity analysis should also be done in a comparison with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new equipment, trade-in value and operating cost per product. If a new machine is needed, do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targets employees have the technical knowledge to operate the new machinery? Does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target provide for continual training of the production line workers? If the machine is used in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production of product, what is its utilization and what are alternative production methods that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would allow the retirement of the machine?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public records at the county courthouse and with the Secretary of State in the County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and states where the company operates must be checked for Uniform Commercial Code (UCC)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filings as well as recorded liens or judgments against the target. Secured transactions impairing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lastRenderedPageBreak/>
        <w:t xml:space="preserve">any inventory, equipment, machinery and fixtures must be reviewed to insure the target can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transfer title to the purchaser (UCC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9-103).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Real Property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If the business purchase includes real property, great care must be taken to assess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value of the property and any possible claims against the property. A title search of all properties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included in the deal must be done to identify the owners of record and if there are any filings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raising an issue of ownership. In addition to any filed security interests, mortgages or deeds of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trust, any filed easements, restrictions of record and any recorded leases should be identified and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examined to avoid conflict or restriction on the business operation.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Filed plats or surveys should be obtained from target or county and physical inspection of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property should be undertaken looking for encroachments onto adjacent property or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encroachments from adjacent properties onto target property. In addition to encroachments,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violations of setback and zoning requirements must also be undertaken and it must be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determined, if any exist, whether appropriate variances were issued by the appropriate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governmental body.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If the property is going be developed, with construction of a building or through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subdivision, identification and availability of phone, electric, water, sewer and all other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necessary services must be ensured. The client must also find out if any adjacent or properties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within close vicinity are planning for development or if improvements are being planned.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If a Phase I environmental report has been completed on the property, it should be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reviewed with an eye toward additional costs, if any, to be borne by the buyer. Sale or transfer of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commercial property is a triggering event for a Phase I report. In addition, the target should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complete an environmental questionnaire on all parcels being transferred in the current deal.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Does the Federal Emergency Management Agency identify this property as being in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flood plain and if so, does any mortgagee require an engineering certificate or federal flood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insurance prior to closing? The client must also determine if being in the flood plain will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jeopardize the planned use of the property and to what degree it might reduce potential return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from the business. (FEMA, Flood Insurance Rate Maps)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If the client is purchasing real property in an asset sale, care must be taken if a seller is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foreign entity and a Foreign Investors Real Property Tax Act (FIRPTA) certificate should be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obtained and appropriate taxes allowed for at the settlement. It is the responsibility of the buyer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(transferee) to determine if the transferor is a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>foreign person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and subject to tax withholding on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transfer. The transferee is the agent and if they fail to withhold the tax, they may be held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liable for the tax (FIRPTA; IRC at 26 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897, 26 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1445, and 26 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6039C).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Mergers and Acquisitions, Page 5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Journal of Finance and Accountancy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Intellectual Property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Client must verify ownership of Intellectual Property being conveyed in the transfer. All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patents, trademarks, service marks, trade names, copyrights, trade secrets, licenses, and consent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agreements and any related applications for the above mentioned intellectual property of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target must be obtained. Care must also be taken with target employees and their employment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contacts, insuring non-competition and confidentiality provisions. In addition, the provisions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that assign any patent or ownership rights of the employee to the company must be verified.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 considering any future litigation or liability costs, the target must provide all notices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given by the target and all notices of infringements received by the target company. The client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must evaluate these intellectual property issues relative to their costs, if they are assets on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balance sheet, the amortization method and the remaining useful life of each.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Warranties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All warranties given by the target must be reviewed along with the estimated warranty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expense and claims history for each product manufactured or sold by the target. Detail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information from the warranty claims made against the target and whether those claims are for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alleged or admitted defects in material, workmanship or design must be reviewed and the amount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of liability must be determined.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lastRenderedPageBreak/>
        <w:t xml:space="preserve">Is there any litigation pending involving the targets products? The results of all testing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used to measure product integrity, whether these tests were done internally or from an outside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testing firm, must be analyzed. The measures that the target has implemented regarding quality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control must also be reviewed and observed to guarantee compliance with the quality control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procedures.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Conclusion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An exit strategy should always be included in any acquisition agreement. If an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agreement has been reached and signed with a closing date established, a failsafe provision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allowing the buyer to cancel the purchase should be provided for. This provision would provide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for a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>material change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in any number of conditions of the target. The more specific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qualifying condition is the better. A material change should include the resignation of key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employees, loss of key customers, failure to obtain minimum revenue or profit targets,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significant increase in expenses or costs and any other conditions considered mandatory for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closing to take place.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>An other mandatory contingency is the buyer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s ability to obtain financing to close the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acquisition. Securing financing will no doubt take longer than in the past and is never assured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until the lender provides the money to the buyer. With this is mind, the buyer should try to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extend the date the agreement can be terminated.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buyer and their counsel should make every effort to mitigate the risk associated with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the acquisition of a small business in our current troubled economic situation. With a close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>examination of the issues raised herein the buyer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s counsel can help the buyer do just that,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mitigate the risk.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Mergers and Acquisitions, Page 6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Journal of Finance and Accountancy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References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Bankruptcy Code; 11 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547. (2010).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lastRenderedPageBreak/>
        <w:t xml:space="preserve">Creim, William B. &amp; Jones, Laurie K. (1998). Defending Preference Claims: What's Mine is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Mine --What's Yours is Negotiable. Credit and Financial Mangement Review, April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1998.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Federal Emergency Management Act; National Flood Insurance Act; 42 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5121, et. seq.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(2010).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Foreign Iinvestors Real Property Tax Act; IRC at 26 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897, 26 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1445, and 26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6039C. (2010).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Internal Revenue Code; 26 U.S.C.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382. (2010).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Lux, Melinda Davis (2009). Representing a Buyer in an Uncertain Economy: Mitigating thr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Risk. South Carolina Lawyer, March 2009 at 20.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Ruffner, William G., Klausman, David L. &amp; Wilkes, Kevin (2009). The Evolution of Section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382 during the Current Financial Crisis. Pennsylvania CPA Journal, Summer 2009.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Uniform Commercial Code </w:t>
      </w:r>
      <w:r w:rsidRPr="003B1794">
        <w:rPr>
          <w:rFonts w:ascii="Tahoma" w:eastAsia="Times New Roman" w:hAnsi="Tahoma" w:cs="Tahoma"/>
          <w:sz w:val="20"/>
          <w:szCs w:val="20"/>
        </w:rPr>
        <w:t>�</w:t>
      </w:r>
      <w:r w:rsidRPr="003B1794">
        <w:rPr>
          <w:rFonts w:ascii="Courier New" w:eastAsia="Times New Roman" w:hAnsi="Courier New" w:cs="Courier New"/>
          <w:sz w:val="20"/>
          <w:szCs w:val="20"/>
        </w:rPr>
        <w:t xml:space="preserve"> 9-103. (2005).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Mergers and Acquisitions, Page 7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1794">
        <w:rPr>
          <w:rFonts w:ascii="Courier New" w:eastAsia="Times New Roman" w:hAnsi="Courier New" w:cs="Courier New"/>
          <w:sz w:val="20"/>
          <w:szCs w:val="20"/>
        </w:rPr>
        <w:t xml:space="preserve">Reproduced with permission of the copyright owner. Further reproduction prohibited without permission. </w:t>
      </w:r>
    </w:p>
    <w:p w:rsidR="003B1794" w:rsidRPr="003B1794" w:rsidRDefault="003B1794" w:rsidP="003B17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66AF9" w:rsidRDefault="00966AF9"/>
    <w:sectPr w:rsidR="00966AF9" w:rsidSect="00966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B1794"/>
    <w:rsid w:val="003B1794"/>
    <w:rsid w:val="003C7D78"/>
    <w:rsid w:val="00486EB0"/>
    <w:rsid w:val="00966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17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179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6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2931</Words>
  <Characters>16712</Characters>
  <Application>Microsoft Office Word</Application>
  <DocSecurity>0</DocSecurity>
  <Lines>139</Lines>
  <Paragraphs>39</Paragraphs>
  <ScaleCrop>false</ScaleCrop>
  <Company/>
  <LinksUpToDate>false</LinksUpToDate>
  <CharactersWithSpaces>19604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Marl</cp:lastModifiedBy>
  <cp:revision>2</cp:revision>
  <dcterms:created xsi:type="dcterms:W3CDTF">2017-06-15T09:42:00Z</dcterms:created>
  <dcterms:modified xsi:type="dcterms:W3CDTF">2017-06-15T09:42:00Z</dcterms:modified>
</cp:coreProperties>
</file>