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DD9" w:rsidRDefault="003D0DD9" w:rsidP="003D0DD9">
      <w:pPr>
        <w:autoSpaceDE w:val="0"/>
        <w:autoSpaceDN w:val="0"/>
        <w:adjustRightInd w:val="0"/>
        <w:spacing w:before="320" w:after="0" w:line="240" w:lineRule="auto"/>
        <w:ind w:left="360"/>
        <w:rPr>
          <w:rFonts w:ascii="Andale Sans for VST" w:hAnsi="Andale Sans for VST" w:cs="Andale Sans for VST"/>
          <w:sz w:val="32"/>
          <w:szCs w:val="32"/>
        </w:rPr>
      </w:pPr>
      <w:r>
        <w:rPr>
          <w:rFonts w:ascii="Andale Sans for VST" w:hAnsi="Andale Sans for VST" w:cs="Andale Sans for VST"/>
          <w:b/>
          <w:bCs/>
          <w:sz w:val="32"/>
          <w:szCs w:val="32"/>
        </w:rPr>
        <w:t>JURISDICTION, FEDERALISM, AND SOVEREIGNTY</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ab/>
        <w:t>The powers not delegated to the United States by the Constitution, nor prohibited by it to the States, are reserved to the States, respectively, or to the people. (U.S. Constitution, Article X)</w:t>
      </w:r>
    </w:p>
    <w:p w:rsidR="003D0DD9" w:rsidRDefault="003D0DD9" w:rsidP="003D0DD9">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 xml:space="preserve">Because of past abuses by the Crown, the framers of the United States Constitution specifically precluded an autocratic system in which a federal government exercised complete control over the constituents of the nation. Indeed, the framers carefully crafted a document that would recognize state sovereignty. Each state has exclusive jurisdiction in the areas of codification of civil and criminal law, judicial procedures, and legislative responsibility, inasmuch as such does not violate the Constitution. States may extend additional rights to their citizenry but may not abridge those guaranteed by the federal government. As a result, courtroom procedures, rules of evidence, even judiciary structures, vary widely across the United States. A complete discussion of all differences in state law is outside the scope of this book, but a brief organizational structure is described in </w:t>
      </w:r>
      <w:r>
        <w:rPr>
          <w:rFonts w:ascii="Thorndale for VST" w:hAnsi="Thorndale for VST" w:cs="Thorndale for VST"/>
          <w:color w:val="0000FF"/>
          <w:sz w:val="24"/>
          <w:szCs w:val="24"/>
          <w:u w:val="single"/>
        </w:rPr>
        <w:t>Table 2.1</w:t>
      </w:r>
      <w:r>
        <w:rPr>
          <w:rFonts w:ascii="Thorndale for VST" w:hAnsi="Thorndale for VST" w:cs="Thorndale for VST"/>
          <w:sz w:val="24"/>
          <w:szCs w:val="24"/>
        </w:rPr>
        <w:t>.</w:t>
      </w:r>
    </w:p>
    <w:p w:rsidR="003D0DD9" w:rsidRDefault="003D0DD9" w:rsidP="003D0DD9">
      <w:pPr>
        <w:autoSpaceDE w:val="0"/>
        <w:autoSpaceDN w:val="0"/>
        <w:adjustRightInd w:val="0"/>
        <w:spacing w:before="320" w:after="0" w:line="240" w:lineRule="auto"/>
        <w:ind w:left="360"/>
        <w:rPr>
          <w:rFonts w:ascii="Andale Sans for VST" w:hAnsi="Andale Sans for VST" w:cs="Andale Sans for VST"/>
          <w:sz w:val="32"/>
          <w:szCs w:val="32"/>
        </w:rPr>
      </w:pPr>
      <w:r>
        <w:rPr>
          <w:rFonts w:ascii="Andale Sans for VST" w:hAnsi="Andale Sans for VST" w:cs="Andale Sans for VST"/>
          <w:b/>
          <w:bCs/>
          <w:sz w:val="32"/>
          <w:szCs w:val="32"/>
        </w:rPr>
        <w:t>THE FEDERAL COURTS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ab/>
        <w:t>The judicial Power of the United States shall be vested in one Supreme Court, and in such inferior Courts as the Congress may from time to time ordain and establish. The Judges, both of the supreme and inferior Courts, shall hold their Offices during good Behavior, and shall, at stated Times, receive for their Services a Compensation which shall not be diminished during their Continuance in Office. (U.S. Constitution, Article III, Section 1)</w:t>
      </w:r>
    </w:p>
    <w:p w:rsidR="003D0DD9" w:rsidRDefault="003D0DD9" w:rsidP="003D0DD9">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 xml:space="preserve">TABLE 2.1 </w:t>
      </w:r>
      <w:r>
        <w:rPr>
          <w:rFonts w:ascii="Andale Sans for VST" w:hAnsi="Andale Sans for VST" w:cs="Andale Sans for VST"/>
          <w:sz w:val="32"/>
          <w:szCs w:val="32"/>
        </w:rPr>
        <w:tab/>
      </w:r>
      <w:r>
        <w:rPr>
          <w:rFonts w:ascii="Andale Sans for VST" w:hAnsi="Andale Sans for VST" w:cs="Andale Sans for VST"/>
          <w:b/>
          <w:bCs/>
          <w:sz w:val="32"/>
          <w:szCs w:val="32"/>
        </w:rPr>
        <w:t>State Court Structure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b/>
          <w:bCs/>
          <w:sz w:val="24"/>
          <w:szCs w:val="24"/>
        </w:rPr>
        <w:t>STATE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b/>
          <w:bCs/>
          <w:sz w:val="24"/>
          <w:szCs w:val="24"/>
        </w:rPr>
        <w:t>COURT OF FIRST INSTANCE (GENERAL JURISDICTION)</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b/>
          <w:bCs/>
          <w:sz w:val="24"/>
          <w:szCs w:val="24"/>
        </w:rPr>
        <w:t>INTERMEDIATE APPELLATE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b/>
          <w:bCs/>
          <w:sz w:val="24"/>
          <w:szCs w:val="24"/>
        </w:rPr>
        <w:t>COURT OF LAST RESORT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Alabama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Circuit Court (41 judicial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Civil Appeals* Court of Criminal* Appeals (1969—single 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lastRenderedPageBreak/>
        <w:t>Alaska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Superior Court (4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Arizona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(County) Superior Court (15 counties)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(Division) Court of Appeals (2 divisions)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Arkansas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Circuit Court (23 judicial circuits)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California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(County) Superior Court (58 counties)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of Appeals (6 appellate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Colorado</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(22 judicial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Connecticut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(13 judicial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 xml:space="preserve">Appellate Court </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 (previously Supreme Court of Errors)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of Columbia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lastRenderedPageBreak/>
        <w:t>Superior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(None)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 (previously Municipal 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Delaware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Superior Court* (previously Superior Court and Orphans’ Court) Court of Chancery*</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(None)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 (previously Court of Errors and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Florida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Circuit Court (20 judicial circuits)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of Appeal (5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Georgia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Superior Court (49 judicial circuits)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Hawaii</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Circuit Court (4 circuits: First, Second, Third, Fifth)</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Intermediate 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Idaho</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(7 judicial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Illinois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Circuit Court (22 judicial circuits)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lastRenderedPageBreak/>
        <w:t>(District) Appellate Court (5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Indiana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County Circuit Court (90 counties)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of Appeals (5 districts) (previously Appellate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Iowa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(8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Kansas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(31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Kentucky</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Circuit Court (57 circuits)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 (1976—Court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Louisiana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(40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(Circuit) Court of Appeals (5 circuits)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 (1813—Superior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Maine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Superior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(None)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lastRenderedPageBreak/>
        <w:t>Supreme Judicial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Maryland</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Circuit Court (8 judicial circuits)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Special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Massachusetts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Trial Court of the Commonwealth (7 departments: Superior Court,* District Court,* Boston Municipal Court,* Juvenile Court,* Housing Court,* Land Court,* Probate and Family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Appeals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Judicial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Michigan</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Circuit Court (57 circuits) Court of Claims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Minnesota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(10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Mississippi</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Circuit Court (22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Missouri</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Circuit Court (45 circuits)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of Appeals (3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lastRenderedPageBreak/>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Montana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(22 judicial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(None)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Nebraska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(12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Nevada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(9 judicial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(None)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New Hampshire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Superior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(None)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New Jersey</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(Vicinage) Superior Court (15 vicinages)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Superior Court, Appellate Division (previously Court of Chancery, Supreme Court, and Prerogative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 (previously Court of Errors and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New Mexico</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(13 judicial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lastRenderedPageBreak/>
        <w:t>New York</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Supreme Court* (12 judicial districts) County Court* (57 counties)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 Appellate Term (3 judicial departments) Supreme Court,* Appellate Division (4 departments)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 (1848—Court for the Correction of Errors, Supreme Court of Judicature, and Court of Chancery)</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North Carolina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Superior Court (46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North Dakota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(7 judicial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Ohio</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(County) Court of Common Pleas (88 counties)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of Appeals (12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Oklahoma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(26 judicial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Civil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 Court of Criminal Appeals* (1959—Criminal 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Oregon</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Circuit Court (27 judicial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lastRenderedPageBreak/>
        <w:t>Pennsylvania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of Common Plea (60 judicial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Superior Court* (3 districts) Commonwealth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SupremeCourt (3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Rhode Island</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Superior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(None)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South Carolina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(Circuit) Court of Common Pleas* (16 circuits) (Circuit) Court of General Sessions* (16 circuits)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South Dakota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Circuit Court (7 circuits)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(None)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Tennessee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Circuit Court* (31 judicial districts)(District) Criminal Court* (31 judicial districts) (District) Chancery Court* (31 judicial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(Grand Division) Court of Appeals* (3 grand divisions) (Grand Division) Court of Criminal Appeals* (3 grand divisions)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Texas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(420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of Appeals (14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lastRenderedPageBreak/>
        <w:t>Supreme Court* Court of Criminal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Utah</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(8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Virginia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Circuit Court (31 judicial circuits)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 (previously Supreme 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Vermont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Superior Court* District Court* Family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(None)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Washington</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(County) Superior Court (39 counties)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(Division) Court of Appeals (3 divisions)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West Virginia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Circuit Court (31 judicial circuits)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(None)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Wisconsin</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Circuit Court (10 judicial administrative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of Appeals (4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lastRenderedPageBreak/>
        <w:t>Wyoming</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District Court (9 districts)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(None)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American</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High Court, Trial Division</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(None)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High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Samoa</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Appellate Division</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Guam</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Superior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(None)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Puerto Rico</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Superior Court (13) Municipal Court (13)</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Court of Appeals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Supreme Court</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U.S. Virgin Islands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(Division) Territorial Court (2 divisions)</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(None)</w:t>
      </w:r>
    </w:p>
    <w:p w:rsidR="003D0DD9" w:rsidRDefault="003D0DD9" w:rsidP="003D0DD9">
      <w:pPr>
        <w:autoSpaceDE w:val="0"/>
        <w:autoSpaceDN w:val="0"/>
        <w:adjustRightInd w:val="0"/>
        <w:spacing w:before="240" w:after="0" w:line="240" w:lineRule="auto"/>
        <w:ind w:left="1260"/>
        <w:rPr>
          <w:rFonts w:ascii="Thorndale for VST" w:hAnsi="Thorndale for VST" w:cs="Thorndale for VST"/>
          <w:sz w:val="24"/>
          <w:szCs w:val="24"/>
        </w:rPr>
      </w:pPr>
      <w:r>
        <w:rPr>
          <w:rFonts w:ascii="Thorndale for VST" w:hAnsi="Thorndale for VST" w:cs="Thorndale for VST"/>
          <w:sz w:val="24"/>
          <w:szCs w:val="24"/>
        </w:rPr>
        <w:t>(None)</w:t>
      </w:r>
    </w:p>
    <w:p w:rsidR="003D0DD9" w:rsidRDefault="003D0DD9" w:rsidP="003D0DD9">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 xml:space="preserve">To the colonies, the signing of the United States Constitution signaled a new beginning in many ways. Among other things, it guaranteed fundamental rights that had been denied previously; it provided for the election of public officials; it recognized state sovereignty; and it empowered Congress to develop a judiciary as deemed appropriate. Unfortunately, it provided little guidance regarding the specifics of this last proviso. Thus, the newly elected </w:t>
      </w:r>
      <w:r>
        <w:rPr>
          <w:rFonts w:ascii="Thorndale for VST" w:hAnsi="Thorndale for VST" w:cs="Thorndale for VST"/>
          <w:sz w:val="24"/>
          <w:szCs w:val="24"/>
        </w:rPr>
        <w:lastRenderedPageBreak/>
        <w:t>Congress found it necessary to develop a more comprehensive schematic for the federal judiciary. This was accomplished through the passage of the Judiciary Act of 1789.</w:t>
      </w:r>
    </w:p>
    <w:p w:rsidR="003D0DD9" w:rsidRDefault="003D0DD9" w:rsidP="003D0DD9">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 xml:space="preserve">Creating a federal court system that recognized state sovereignty was not an easy task. The </w:t>
      </w:r>
      <w:r>
        <w:rPr>
          <w:rFonts w:ascii="Thorndale for VST" w:hAnsi="Thorndale for VST" w:cs="Thorndale for VST"/>
          <w:b/>
          <w:bCs/>
          <w:color w:val="0000FF"/>
          <w:sz w:val="24"/>
          <w:szCs w:val="24"/>
          <w:u w:val="single"/>
        </w:rPr>
        <w:t>Judiciary Act of 1789</w:t>
      </w:r>
      <w:r>
        <w:rPr>
          <w:rFonts w:ascii="Thorndale for VST" w:hAnsi="Thorndale for VST" w:cs="Thorndale for VST"/>
          <w:sz w:val="24"/>
          <w:szCs w:val="24"/>
        </w:rPr>
        <w:t xml:space="preserve"> was an attempt to establish a strong federal court system that could evaluate the constitutionality of state statutes, doctrines, and judicial rulings when appropriate and dispense justice in matters of federal law. It established a Supreme Court with six justices, 13 district courts (one in each state), and three circuit courts (Eastern, Middle, and Southern). It also outlined jurisdictional responsibilities and granted citizens the right to be heard in federal court when issues of constitutional concern were raised and rejected by the highest state appellate court. It is doubtful that the framers could have foreseen the tremendous growth that the country would experience. Currently, 13 circuit courts and 94 district courts exist, and the Supreme Court has grown from six justices to nine.</w:t>
      </w:r>
    </w:p>
    <w:p w:rsidR="003D0DD9" w:rsidRDefault="003D0DD9" w:rsidP="003D0DD9">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To ensure that the federal court system and its officers remained free from corruption or coercion, the Constitution extended two pivotal assurances to the federal judiciary. First, irrespective of jurisdiction, all federal judges will be appointed for life and may only be removed through impeachment or through conviction by Congress for treason, bribery, or other high crimes. Second, compensation of the judiciary cannot be diminished “during their Continuance in Office.” Thus, neither the President nor the Congress can reduce the salaries of the federal judiciary.</w:t>
      </w:r>
    </w:p>
    <w:p w:rsidR="003D0DD9" w:rsidRDefault="003D0DD9" w:rsidP="003D0DD9">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District Courts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District courts have the authority to hear most categories of federal cases, whether civil or criminal in nature. Currently, 94 federal judicial districts exist (with at least one per state), including Puerto Rico and the District of Columbia. The largest states, including California, Texas, and New York, have four or more. In addition, the Virgin Islands, Guam, and the Northern Mariana Islands—territories of the United States—maintain district courts that hear most federal cases, including bankruptcy cases. Finally, two special trial courts exist that maintain nationwide jurisdiction over special cases. The Court of International Trade, for example, hears cases in which international trade and customs issues arise; while the United States Court of Federal Claims hears claims against the United States including, but not limited to, illegal seizures of private property by the federal government, federal contractual disputes, and other cases involving monetary damages against the United States.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Each of the 94 federal judicial districts maintains a U.S. District Court. The size of the judiciary ranges from 2 to 32, depending on the size of the district’s population. Regardless of the number of judges in any particular district, only one presides over a particular trial. The size of the entire district court judiciary constantly changes in response to population growth and caseload.</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In the latter half of the twentieth century, federal court judges were given the power to appoint </w:t>
      </w:r>
      <w:r>
        <w:rPr>
          <w:rFonts w:ascii="Thorndale for VST" w:hAnsi="Thorndale for VST" w:cs="Thorndale for VST"/>
          <w:i/>
          <w:iCs/>
          <w:sz w:val="24"/>
          <w:szCs w:val="24"/>
        </w:rPr>
        <w:t>magistrates</w:t>
      </w:r>
      <w:r>
        <w:rPr>
          <w:rFonts w:ascii="Thorndale for VST" w:hAnsi="Thorndale for VST" w:cs="Thorndale for VST"/>
          <w:sz w:val="24"/>
          <w:szCs w:val="24"/>
        </w:rPr>
        <w:t xml:space="preserve">, or junior judicial officers, for fixed terms ranging from 4 years for part-time officers to 8 years for full-time magistrates. To alleviate the caseloads placed </w:t>
      </w:r>
      <w:r>
        <w:rPr>
          <w:rFonts w:ascii="Thorndale for VST" w:hAnsi="Thorndale for VST" w:cs="Thorndale for VST"/>
          <w:sz w:val="24"/>
          <w:szCs w:val="24"/>
        </w:rPr>
        <w:lastRenderedPageBreak/>
        <w:t>upon district judges, federal magistrates now handle arraignments, preliminary matters, certain types of civil cases, and lesser criminal cases. For the most part, district judges handle felony cases and civil jury trials. While rulings by magistrate judges are binding, most are subject to review, modification, and reversal by a district judge of that court. The sole exception to this rule involves civil cases in which all parties have agreed to the jurisdiction of the magistrate judge before final disposition.</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Federal district courts serve as trial courts in the federal system. Maintaining original jurisdiction over federal criminal and civil cases, district courts serve as the gatekeepers of the federal system. They are empowered to hear all cases involving violations of federal statutes and civil disputes between citizens from different states. Traditionally, dockets of district courts were primarily comprised of civil cases. However, additions to Title 18 of the U.S. Code in areas involving computer crime, terrorism, and narcotics have exponentially increased the criminal caseload of federal district judges. Although Congress has significantly increased the federal judiciary to accommodate the increase in dockets, many federal civil cases remain delayed.</w:t>
      </w:r>
    </w:p>
    <w:p w:rsidR="003D0DD9" w:rsidRDefault="003D0DD9" w:rsidP="003D0DD9">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Appellate Courts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The number of appellate courts, or </w:t>
      </w:r>
      <w:r>
        <w:rPr>
          <w:rFonts w:ascii="Thorndale for VST" w:hAnsi="Thorndale for VST" w:cs="Thorndale for VST"/>
          <w:b/>
          <w:bCs/>
          <w:color w:val="0000FF"/>
          <w:sz w:val="24"/>
          <w:szCs w:val="24"/>
          <w:u w:val="single"/>
        </w:rPr>
        <w:t>circuit courts</w:t>
      </w:r>
      <w:r>
        <w:rPr>
          <w:rFonts w:ascii="Thorndale for VST" w:hAnsi="Thorndale for VST" w:cs="Thorndale for VST"/>
          <w:sz w:val="24"/>
          <w:szCs w:val="24"/>
        </w:rPr>
        <w:t>, in the federal system has increased considerably from the three originally provided for in Article III. Currently, a total of 13 circuit courts exist—11 regional courts, plus one for the District of Columbia and one for the Court of Appeals for the Federal Circuit. The latter maintains nationwide jurisdiction over appeals of special cases, such as cases involving patents and cases decided by the Courts of International Trade and Federal Claims. The federal appeals court in the District of Columbia only hears cases from that jurisdiction.</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The regional circuit courts are organized by territory (see Fig. 2.1). All 13 courts and their jurisdictions are listed here:</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r>
      <w:r>
        <w:rPr>
          <w:rFonts w:ascii="Thorndale for VST" w:hAnsi="Thorndale for VST" w:cs="Thorndale for VST"/>
          <w:b/>
          <w:bCs/>
          <w:sz w:val="24"/>
          <w:szCs w:val="24"/>
        </w:rPr>
        <w:t>FIRST CIRCUIT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—Maine, Massachusetts, New Hampshire, Rhode Island, and Puerto Rico</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r>
      <w:r>
        <w:rPr>
          <w:rFonts w:ascii="Thorndale for VST" w:hAnsi="Thorndale for VST" w:cs="Thorndale for VST"/>
          <w:b/>
          <w:bCs/>
          <w:sz w:val="24"/>
          <w:szCs w:val="24"/>
        </w:rPr>
        <w:t>SECOND CIRCUIT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—New York, Vermont, and Connecticut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r>
      <w:r>
        <w:rPr>
          <w:rFonts w:ascii="Thorndale for VST" w:hAnsi="Thorndale for VST" w:cs="Thorndale for VST"/>
          <w:b/>
          <w:bCs/>
          <w:sz w:val="24"/>
          <w:szCs w:val="24"/>
        </w:rPr>
        <w:t>THIRD CIRCUIT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—Pennsylvania, New Jersey, Delaware, and the U.S. Virgin Islands</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r>
      <w:r>
        <w:rPr>
          <w:rFonts w:ascii="Thorndale for VST" w:hAnsi="Thorndale for VST" w:cs="Thorndale for VST"/>
          <w:b/>
          <w:bCs/>
          <w:sz w:val="24"/>
          <w:szCs w:val="24"/>
        </w:rPr>
        <w:t>FOURTH CIRCUIT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—Maryland, North Carolina, South Carolina, Virginia, and West Virginia</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r>
      <w:r>
        <w:rPr>
          <w:rFonts w:ascii="Thorndale for VST" w:hAnsi="Thorndale for VST" w:cs="Thorndale for VST"/>
          <w:b/>
          <w:bCs/>
          <w:sz w:val="24"/>
          <w:szCs w:val="24"/>
        </w:rPr>
        <w:t>FIFTH CIRCUIT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lastRenderedPageBreak/>
        <w:tab/>
        <w:t>—Louisiana, Texas, and Mississippi</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r>
      <w:r>
        <w:rPr>
          <w:rFonts w:ascii="Thorndale for VST" w:hAnsi="Thorndale for VST" w:cs="Thorndale for VST"/>
          <w:b/>
          <w:bCs/>
          <w:sz w:val="24"/>
          <w:szCs w:val="24"/>
        </w:rPr>
        <w:t>SIXTH CIRCUIT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—Michigan, Ohio, Kentucky, and Tennessee</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r>
      <w:r>
        <w:rPr>
          <w:rFonts w:ascii="Thorndale for VST" w:hAnsi="Thorndale for VST" w:cs="Thorndale for VST"/>
          <w:b/>
          <w:bCs/>
          <w:sz w:val="24"/>
          <w:szCs w:val="24"/>
        </w:rPr>
        <w:t>SEVENTH CIRCUIT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—Illinois, Indiana, and Wisconsin</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r>
      <w:r>
        <w:rPr>
          <w:rFonts w:ascii="Thorndale for VST" w:hAnsi="Thorndale for VST" w:cs="Thorndale for VST"/>
          <w:b/>
          <w:bCs/>
          <w:sz w:val="24"/>
          <w:szCs w:val="24"/>
        </w:rPr>
        <w:t>EIGHTH CIRCUIT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—North Dakota, South Dakota, Minnesota, Nebraska, Iowa, Missouri, and Arkansas</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r>
      <w:r>
        <w:rPr>
          <w:rFonts w:ascii="Thorndale for VST" w:hAnsi="Thorndale for VST" w:cs="Thorndale for VST"/>
          <w:b/>
          <w:bCs/>
          <w:sz w:val="24"/>
          <w:szCs w:val="24"/>
        </w:rPr>
        <w:t>NINTH CIRCUIT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—California, Oregon, Washington, Arizona, Montana, Idaho, Nevada, Alaska, and Hawaii</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r>
      <w:r>
        <w:rPr>
          <w:rFonts w:ascii="Thorndale for VST" w:hAnsi="Thorndale for VST" w:cs="Thorndale for VST"/>
          <w:b/>
          <w:bCs/>
          <w:sz w:val="24"/>
          <w:szCs w:val="24"/>
        </w:rPr>
        <w:t>TENTH CIRCUIT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—Colorado, Kansas, New Mexico, Oklahoma, Utah, and Wyoming</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r>
      <w:r>
        <w:rPr>
          <w:rFonts w:ascii="Thorndale for VST" w:hAnsi="Thorndale for VST" w:cs="Thorndale for VST"/>
          <w:b/>
          <w:bCs/>
          <w:sz w:val="24"/>
          <w:szCs w:val="24"/>
        </w:rPr>
        <w:t>ELEVENTH CIRCUIT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—Alabama, Georgia, and Florida</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r>
      <w:r>
        <w:rPr>
          <w:rFonts w:ascii="Thorndale for VST" w:hAnsi="Thorndale for VST" w:cs="Thorndale for VST"/>
          <w:b/>
          <w:bCs/>
          <w:sz w:val="24"/>
          <w:szCs w:val="24"/>
        </w:rPr>
        <w:t>DISTRICT OF COLUMBIA</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—Washington DC, Tax Court, Federal Administrative Agencies</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r>
      <w:r>
        <w:rPr>
          <w:rFonts w:ascii="Thorndale for VST" w:hAnsi="Thorndale for VST" w:cs="Thorndale for VST"/>
          <w:b/>
          <w:bCs/>
          <w:sz w:val="24"/>
          <w:szCs w:val="24"/>
        </w:rPr>
        <w:t>FEDERAL</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—Patent, International Trade, Claims Court, Veterans’ Appeals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The number of the federal judiciary within circuits varies greatly, from six in the First Circuit to 32 in the Ninth. As a rule, hearings are presented before a three-judge panel. This system leaves much to be desired, and has resulted in numerous contradictory rulings both intra-court and inter-court. The Fourth Circuit, for example, often is characterized as conservative, while the Ninth is anything but. In addition, matters involving the same legal question may be answered quite differently from </w:t>
      </w:r>
      <w:r>
        <w:rPr>
          <w:rFonts w:ascii="Thorndale for VST" w:hAnsi="Thorndale for VST" w:cs="Thorndale for VST"/>
          <w:i/>
          <w:iCs/>
          <w:sz w:val="24"/>
          <w:szCs w:val="24"/>
        </w:rPr>
        <w:t>within</w:t>
      </w:r>
      <w:r>
        <w:rPr>
          <w:rFonts w:ascii="Thorndale for VST" w:hAnsi="Thorndale for VST" w:cs="Thorndale for VST"/>
          <w:sz w:val="24"/>
          <w:szCs w:val="24"/>
        </w:rPr>
        <w:t xml:space="preserve"> the same circuit. In such cases, the circuit may sit </w:t>
      </w:r>
      <w:r>
        <w:rPr>
          <w:rFonts w:ascii="Thorndale for VST" w:hAnsi="Thorndale for VST" w:cs="Thorndale for VST"/>
          <w:i/>
          <w:iCs/>
          <w:sz w:val="24"/>
          <w:szCs w:val="24"/>
        </w:rPr>
        <w:t>en banc</w:t>
      </w:r>
      <w:r>
        <w:rPr>
          <w:rFonts w:ascii="Thorndale for VST" w:hAnsi="Thorndale for VST" w:cs="Thorndale for VST"/>
          <w:sz w:val="24"/>
          <w:szCs w:val="24"/>
        </w:rPr>
        <w:t xml:space="preserve"> (literally, “by the full court” or “full bench”) to reconcile the issue. In large circuits, such as the Ninth, as few as 11 judges may qualify to be </w:t>
      </w:r>
      <w:r>
        <w:rPr>
          <w:rFonts w:ascii="Thorndale for VST" w:hAnsi="Thorndale for VST" w:cs="Thorndale for VST"/>
          <w:i/>
          <w:iCs/>
          <w:sz w:val="24"/>
          <w:szCs w:val="24"/>
        </w:rPr>
        <w:t>en banc</w:t>
      </w:r>
      <w:r>
        <w:rPr>
          <w:rFonts w:ascii="Thorndale for VST" w:hAnsi="Thorndale for VST" w:cs="Thorndale for VST"/>
          <w:sz w:val="24"/>
          <w:szCs w:val="24"/>
        </w:rPr>
        <w:t xml:space="preserve"> under federal law.</w:t>
      </w:r>
    </w:p>
    <w:p w:rsidR="003D0DD9" w:rsidRDefault="003D0DD9" w:rsidP="003D0DD9">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 xml:space="preserve">FIGURE 2.1 </w:t>
      </w:r>
      <w:r>
        <w:rPr>
          <w:rFonts w:ascii="Andale Sans for VST" w:hAnsi="Andale Sans for VST" w:cs="Andale Sans for VST"/>
          <w:sz w:val="32"/>
          <w:szCs w:val="32"/>
        </w:rPr>
        <w:tab/>
        <w:t>Map of U.S. territories and their courts</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noProof/>
          <w:sz w:val="24"/>
          <w:szCs w:val="24"/>
        </w:rPr>
        <w:lastRenderedPageBreak/>
        <w:drawing>
          <wp:inline distT="0" distB="0" distL="0" distR="0">
            <wp:extent cx="5470525" cy="3562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70525" cy="3562350"/>
                    </a:xfrm>
                    <a:prstGeom prst="rect">
                      <a:avLst/>
                    </a:prstGeom>
                    <a:noFill/>
                    <a:ln>
                      <a:noFill/>
                    </a:ln>
                  </pic:spPr>
                </pic:pic>
              </a:graphicData>
            </a:graphic>
          </wp:inline>
        </w:drawing>
      </w:r>
    </w:p>
    <w:p w:rsidR="003D0DD9" w:rsidRDefault="003D0DD9" w:rsidP="003D0DD9">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Bankruptcy Court</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The federal court system is also solely responsible for the hearing of bankruptcy cases. Bankruptcy, then, is under the exclusive jurisdiction of the federal court system and may not be filed in state court, as originally established in Article 1 of the Constitution. Each of the 94 federal judicial districts has independent bankruptcy courts attached to them per order of the Bankruptcy Reform Act of 1978. Currently, there are 324 bankruptcy judges in the United States, and each was appointed by the Court of Appeals for 14-year terms per order of the Bankruptcy Amendments and Federal Judgeship Act of 1984.</w:t>
      </w:r>
    </w:p>
    <w:p w:rsidR="003D0DD9" w:rsidRDefault="003D0DD9" w:rsidP="003D0DD9">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Supreme Court</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As with the lower tiers of the federal judiciary, the creation of the U.S. Supreme Court was provided for in Article III, Section 1, of the Constitution: “The judicial Power of the United States, shall be vested in one supreme Court, and in such inferior Courts as the Congress may from time to time ordain and establish.” Officially unveiled in 1790 after the passage of the Judiciary Act of 1789, this legislation provided for justices to be nominated by the President and approved by the Senate for lifetime appointments. Originally, the Supreme Court comprised one chief justice and five associates. However, Congress has gradually increased its size over the past two centuries. Currently, one chief justice and eight associates preside over the Court, including: Chief Justice John G. Roberts Jr., John Paul Stevens, Antonin Scalia, Anthony M. Kennedy, David Hackett Souter, Clarence Thomas, Ruth Bader Ginsburg, Stephen G. Bryer, and Samuel Anthony Alito Jr. It is estimated that </w:t>
      </w:r>
      <w:r>
        <w:rPr>
          <w:rFonts w:ascii="Thorndale for VST" w:hAnsi="Thorndale for VST" w:cs="Thorndale for VST"/>
          <w:sz w:val="24"/>
          <w:szCs w:val="24"/>
        </w:rPr>
        <w:lastRenderedPageBreak/>
        <w:t xml:space="preserve">the Court receives more than 7,000 </w:t>
      </w:r>
      <w:r>
        <w:rPr>
          <w:rFonts w:ascii="Thorndale for VST" w:hAnsi="Thorndale for VST" w:cs="Thorndale for VST"/>
          <w:b/>
          <w:bCs/>
          <w:color w:val="0000FF"/>
          <w:sz w:val="24"/>
          <w:szCs w:val="24"/>
          <w:u w:val="single"/>
        </w:rPr>
        <w:t>writs of certiorari</w:t>
      </w:r>
      <w:r>
        <w:rPr>
          <w:rFonts w:ascii="Thorndale for VST" w:hAnsi="Thorndale for VST" w:cs="Thorndale for VST"/>
          <w:sz w:val="24"/>
          <w:szCs w:val="24"/>
        </w:rPr>
        <w:t xml:space="preserve"> (i.e., petitions for hearing) each year.</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The Supreme Court has original jurisdiction only in cases involving suits between states, suits involving a foreign citizen, and suits between the federal government and a state. The Supreme Court is considered “the court of last resort” for cases in the federal system and for state cases that involve constitutional issues. Thus, the Court‘s caseload consists primarily of appeals. In that way, its docket is almost entirely discretionary—developing out of a review process initiated by the filing of a writ of certiorari. A petition for such a writ is defined as an appeal from a party to an appellate court to order the forwarding of court documents regarding a particular case to the higher court for review. Such petitions, numbering in the thousands annually, are originally reviewed by a staff of law clerks that selects only those cases deemed meritorious in some aspect. Those cases then are forwarded to the Supreme Court for review. (See </w:t>
      </w:r>
      <w:r>
        <w:rPr>
          <w:rFonts w:ascii="Thorndale for VST" w:hAnsi="Thorndale for VST" w:cs="Thorndale for VST"/>
          <w:color w:val="0000FF"/>
          <w:sz w:val="24"/>
          <w:szCs w:val="24"/>
          <w:u w:val="single"/>
        </w:rPr>
        <w:t>Figure 2.2</w:t>
      </w:r>
      <w:r>
        <w:rPr>
          <w:rFonts w:ascii="Thorndale for VST" w:hAnsi="Thorndale for VST" w:cs="Thorndale for VST"/>
          <w:sz w:val="24"/>
          <w:szCs w:val="24"/>
        </w:rPr>
        <w:t>)</w:t>
      </w:r>
    </w:p>
    <w:p w:rsidR="003D0DD9" w:rsidRDefault="003D0DD9" w:rsidP="003D0DD9">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 xml:space="preserve">FIGURE 2.2 </w:t>
      </w:r>
      <w:r>
        <w:rPr>
          <w:rFonts w:ascii="Andale Sans for VST" w:hAnsi="Andale Sans for VST" w:cs="Andale Sans for VST"/>
          <w:sz w:val="32"/>
          <w:szCs w:val="32"/>
        </w:rPr>
        <w:tab/>
        <w:t>Organizational Structure of Federal and State Courts</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noProof/>
          <w:sz w:val="24"/>
          <w:szCs w:val="24"/>
        </w:rPr>
        <w:drawing>
          <wp:inline distT="0" distB="0" distL="0" distR="0">
            <wp:extent cx="5454650" cy="434911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54650" cy="4349115"/>
                    </a:xfrm>
                    <a:prstGeom prst="rect">
                      <a:avLst/>
                    </a:prstGeom>
                    <a:noFill/>
                    <a:ln>
                      <a:noFill/>
                    </a:ln>
                  </pic:spPr>
                </pic:pic>
              </a:graphicData>
            </a:graphic>
          </wp:inline>
        </w:drawing>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Once the cases are forwarded from the clerks to the Court, the Chief Justice leads the Court in discussions concerning the individual cases. Notes from such deliberations are recorded </w:t>
      </w:r>
      <w:r>
        <w:rPr>
          <w:rFonts w:ascii="Thorndale for VST" w:hAnsi="Thorndale for VST" w:cs="Thorndale for VST"/>
          <w:sz w:val="24"/>
          <w:szCs w:val="24"/>
        </w:rPr>
        <w:lastRenderedPageBreak/>
        <w:t xml:space="preserve">by the most junior justice, and oral voting commences according to seniority. To be placed on the docket, the case must receive at least four affirmative votes. This is known as the </w:t>
      </w:r>
      <w:r>
        <w:rPr>
          <w:rFonts w:ascii="Thorndale for VST" w:hAnsi="Thorndale for VST" w:cs="Thorndale for VST"/>
          <w:b/>
          <w:bCs/>
          <w:color w:val="0000FF"/>
          <w:sz w:val="24"/>
          <w:szCs w:val="24"/>
          <w:u w:val="single"/>
        </w:rPr>
        <w:t>rule of four</w:t>
      </w:r>
      <w:r>
        <w:rPr>
          <w:rFonts w:ascii="Thorndale for VST" w:hAnsi="Thorndale for VST" w:cs="Thorndale for VST"/>
          <w:sz w:val="24"/>
          <w:szCs w:val="24"/>
        </w:rPr>
        <w:t xml:space="preserve">. If the rule of four is not satisfied, then the petition is denied and the ruling of the lower court is left intact. Denial of certiorari (also </w:t>
      </w:r>
      <w:r>
        <w:rPr>
          <w:rFonts w:ascii="Thorndale for VST" w:hAnsi="Thorndale for VST" w:cs="Thorndale for VST"/>
          <w:i/>
          <w:iCs/>
          <w:sz w:val="24"/>
          <w:szCs w:val="24"/>
        </w:rPr>
        <w:t>cert</w:t>
      </w:r>
      <w:r>
        <w:rPr>
          <w:rFonts w:ascii="Thorndale for VST" w:hAnsi="Thorndale for VST" w:cs="Thorndale for VST"/>
          <w:sz w:val="24"/>
          <w:szCs w:val="24"/>
        </w:rPr>
        <w:t>) is not an acceptance or agreement of the legal reasoning or verdict by the lower court, nor does it establish a precedent or have any other binding power. It simply means that the requisite four votes to hear the case were not obtained.</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Selection of a particular case by the Supreme Court may at times appear to be random, and it is always subjective. Such capriciousness has been recognized by Chief Justice William Rehnquist (Rehnquist, </w:t>
      </w:r>
      <w:r>
        <w:rPr>
          <w:rFonts w:ascii="Thorndale for VST" w:hAnsi="Thorndale for VST" w:cs="Thorndale for VST"/>
          <w:color w:val="0000FF"/>
          <w:sz w:val="24"/>
          <w:szCs w:val="24"/>
          <w:u w:val="single"/>
        </w:rPr>
        <w:t>2002</w:t>
      </w:r>
      <w:r>
        <w:rPr>
          <w:rFonts w:ascii="Thorndale for VST" w:hAnsi="Thorndale for VST" w:cs="Thorndale for VST"/>
          <w:sz w:val="24"/>
          <w:szCs w:val="24"/>
        </w:rPr>
        <w:t>). Theoretically, the Supreme Court hears cases in which it has original jurisdiction; in which there is a constitutional issue in question; and in which there are diverse rulings among lower courts (either within the federal system itself or among state and federal courts). The Supreme Court’s rulings are binding on all federal courts—and can be binding on state courts when the Fourteenth Amendment is made applicable.</w:t>
      </w:r>
    </w:p>
    <w:p w:rsidR="003D0DD9" w:rsidRDefault="003D0DD9" w:rsidP="003D0DD9">
      <w:pPr>
        <w:autoSpaceDE w:val="0"/>
        <w:autoSpaceDN w:val="0"/>
        <w:adjustRightInd w:val="0"/>
        <w:spacing w:before="320" w:after="0" w:line="240" w:lineRule="auto"/>
        <w:ind w:left="360"/>
        <w:rPr>
          <w:rFonts w:ascii="Andale Sans for VST" w:hAnsi="Andale Sans for VST" w:cs="Andale Sans for VST"/>
          <w:sz w:val="32"/>
          <w:szCs w:val="32"/>
        </w:rPr>
      </w:pPr>
      <w:r>
        <w:rPr>
          <w:rFonts w:ascii="Andale Sans for VST" w:hAnsi="Andale Sans for VST" w:cs="Andale Sans for VST"/>
          <w:b/>
          <w:bCs/>
          <w:sz w:val="32"/>
          <w:szCs w:val="32"/>
        </w:rPr>
        <w:t>THE STATE COURTS</w:t>
      </w:r>
    </w:p>
    <w:p w:rsidR="003D0DD9" w:rsidRDefault="003D0DD9" w:rsidP="003D0DD9">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 xml:space="preserve">Although the Supreme Court of the United States often issues rulings that are binding on the states, most criminal cases (and civil cases, for that matter) are heard and ruled upon in state courts. In 2002, for example, more than 96 million cases were filed in state courts (National Center for State Courts, </w:t>
      </w:r>
      <w:r>
        <w:rPr>
          <w:rFonts w:ascii="Thorndale for VST" w:hAnsi="Thorndale for VST" w:cs="Thorndale for VST"/>
          <w:color w:val="0000FF"/>
          <w:sz w:val="24"/>
          <w:szCs w:val="24"/>
          <w:u w:val="single"/>
        </w:rPr>
        <w:t>2003</w:t>
      </w:r>
      <w:r>
        <w:rPr>
          <w:rFonts w:ascii="Thorndale for VST" w:hAnsi="Thorndale for VST" w:cs="Thorndale for VST"/>
          <w:sz w:val="24"/>
          <w:szCs w:val="24"/>
        </w:rPr>
        <w:t>). Without question, state courts have more impact on the lives of average citizens and laws often are based on the prevailing standards of the community in which they were developed. As such, laws, judicial process, caseloads, and government structure vary widely across jurisdictions. However, all states have a structured appellate system in which due process is pursued. Some states achieve this goal more effectively than others, as some state systems are more organized than others. North Dakota and the District of Columbia, for example, are streamlined—having a unified trial system and single court of last resort—while the court system in Georgia is more complex—having nine different trial courts and numerous layers of appellate courts. Caseloads also vary widely, with the state of California serving a population greater than some entire countries. Thus, the effectiveness of court systems varies widely. However, there are generally four types of state courts: courts of limited jurisdiction, courts of general jurisdiction, intermediate appellate courts, and courts of last resort.</w:t>
      </w:r>
    </w:p>
    <w:p w:rsidR="003D0DD9" w:rsidRDefault="003D0DD9" w:rsidP="003D0DD9">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 xml:space="preserve">Courts of limited jurisdiction (also known as </w:t>
      </w:r>
      <w:r>
        <w:rPr>
          <w:rFonts w:ascii="Thorndale for VST" w:hAnsi="Thorndale for VST" w:cs="Thorndale for VST"/>
          <w:i/>
          <w:iCs/>
          <w:sz w:val="24"/>
          <w:szCs w:val="24"/>
        </w:rPr>
        <w:t>magistrate court, municipal court, county court</w:t>
      </w:r>
      <w:r>
        <w:rPr>
          <w:rFonts w:ascii="Thorndale for VST" w:hAnsi="Thorndale for VST" w:cs="Thorndale for VST"/>
          <w:sz w:val="24"/>
          <w:szCs w:val="24"/>
        </w:rPr>
        <w:t xml:space="preserve">, and </w:t>
      </w:r>
      <w:r>
        <w:rPr>
          <w:rFonts w:ascii="Thorndale for VST" w:hAnsi="Thorndale for VST" w:cs="Thorndale for VST"/>
          <w:i/>
          <w:iCs/>
          <w:sz w:val="24"/>
          <w:szCs w:val="24"/>
        </w:rPr>
        <w:t>justice of the peace court</w:t>
      </w:r>
      <w:r>
        <w:rPr>
          <w:rFonts w:ascii="Thorndale for VST" w:hAnsi="Thorndale for VST" w:cs="Thorndale for VST"/>
          <w:sz w:val="24"/>
          <w:szCs w:val="24"/>
        </w:rPr>
        <w:t xml:space="preserve">) are specialty courts that, by definition, are limited in the scope of cases in which they have jurisdiction. According to the National Center for State Courts, more than two-thirds of all cases filed in state courts are heard in courts of limited jurisdiction. These courts are reserved largely for traffic cases, small claims cases, misdemeanor filings, and preliminary hearings in felony cases (NCSC, </w:t>
      </w:r>
      <w:r>
        <w:rPr>
          <w:rFonts w:ascii="Thorndale for VST" w:hAnsi="Thorndale for VST" w:cs="Thorndale for VST"/>
          <w:color w:val="0000FF"/>
          <w:sz w:val="24"/>
          <w:szCs w:val="24"/>
          <w:u w:val="single"/>
        </w:rPr>
        <w:t>2003</w:t>
      </w:r>
      <w:r>
        <w:rPr>
          <w:rFonts w:ascii="Thorndale for VST" w:hAnsi="Thorndale for VST" w:cs="Thorndale for VST"/>
          <w:sz w:val="24"/>
          <w:szCs w:val="24"/>
        </w:rPr>
        <w:t xml:space="preserve">). Also, these courts are used for the issuance of search and arrest warrants, and in some jurisdictions, they are used for family law and probate. Unlike other courts, there is no absolute right to a jury trial in most of these courts. In fact, such a right would significantly hamper, if not entirely obliterate, timely adjudication of the tens of millions of cases filed in these courts per year. Losing parties, may seek a </w:t>
      </w:r>
      <w:r>
        <w:rPr>
          <w:rFonts w:ascii="Thorndale for VST" w:hAnsi="Thorndale for VST" w:cs="Thorndale for VST"/>
          <w:b/>
          <w:bCs/>
          <w:color w:val="0000FF"/>
          <w:sz w:val="24"/>
          <w:szCs w:val="24"/>
          <w:u w:val="single"/>
        </w:rPr>
        <w:t>trial de novo</w:t>
      </w:r>
      <w:r>
        <w:rPr>
          <w:rFonts w:ascii="Thorndale for VST" w:hAnsi="Thorndale for VST" w:cs="Thorndale for VST"/>
          <w:sz w:val="24"/>
          <w:szCs w:val="24"/>
        </w:rPr>
        <w:t xml:space="preserve">. Unlike traditional appeals in which the trial record </w:t>
      </w:r>
      <w:r>
        <w:rPr>
          <w:rFonts w:ascii="Thorndale for VST" w:hAnsi="Thorndale for VST" w:cs="Thorndale for VST"/>
          <w:sz w:val="24"/>
          <w:szCs w:val="24"/>
        </w:rPr>
        <w:lastRenderedPageBreak/>
        <w:t xml:space="preserve">is reviewed for legal errors, a trial de novo is an entirely new trial—separate and independent from the original. By far, these courts represent the largest body of the state judiciary. In 2003, for example, 13,544 limited jurisdiction courts could be compared to 2,044 courts of general jurisdiction (NCSC, </w:t>
      </w:r>
      <w:r>
        <w:rPr>
          <w:rFonts w:ascii="Thorndale for VST" w:hAnsi="Thorndale for VST" w:cs="Thorndale for VST"/>
          <w:color w:val="0000FF"/>
          <w:sz w:val="24"/>
          <w:szCs w:val="24"/>
          <w:u w:val="single"/>
        </w:rPr>
        <w:t>2003</w:t>
      </w:r>
      <w:r>
        <w:rPr>
          <w:rFonts w:ascii="Thorndale for VST" w:hAnsi="Thorndale for VST" w:cs="Thorndale for VST"/>
          <w:sz w:val="24"/>
          <w:szCs w:val="24"/>
        </w:rPr>
        <w:t>). This number, however, is constantly subject to change because courts open and close based on need and changes in court system classification.</w:t>
      </w:r>
    </w:p>
    <w:p w:rsidR="003D0DD9" w:rsidRDefault="003D0DD9" w:rsidP="003D0DD9">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 xml:space="preserve">Courts of general jurisdiction (also known as </w:t>
      </w:r>
      <w:r>
        <w:rPr>
          <w:rFonts w:ascii="Thorndale for VST" w:hAnsi="Thorndale for VST" w:cs="Thorndale for VST"/>
          <w:i/>
          <w:iCs/>
          <w:sz w:val="24"/>
          <w:szCs w:val="24"/>
        </w:rPr>
        <w:t>trial courts, district courts, circuit courts</w:t>
      </w:r>
      <w:r>
        <w:rPr>
          <w:rFonts w:ascii="Thorndale for VST" w:hAnsi="Thorndale for VST" w:cs="Thorndale for VST"/>
          <w:sz w:val="24"/>
          <w:szCs w:val="24"/>
        </w:rPr>
        <w:t xml:space="preserve">, or </w:t>
      </w:r>
      <w:r>
        <w:rPr>
          <w:rFonts w:ascii="Thorndale for VST" w:hAnsi="Thorndale for VST" w:cs="Thorndale for VST"/>
          <w:i/>
          <w:iCs/>
          <w:sz w:val="24"/>
          <w:szCs w:val="24"/>
        </w:rPr>
        <w:t>superior courts</w:t>
      </w:r>
      <w:r>
        <w:rPr>
          <w:rFonts w:ascii="Thorndale for VST" w:hAnsi="Thorndale for VST" w:cs="Thorndale for VST"/>
          <w:sz w:val="24"/>
          <w:szCs w:val="24"/>
        </w:rPr>
        <w:t xml:space="preserve">) represent the next tier of court in many state systems. More than one-third of all state cases are filed in courts of general jurisdiction. Hearing criminal and civil matters, these courts are known as trial courts because individuals before them possess the right to a jury trial. The courts are primarily considered </w:t>
      </w:r>
      <w:r>
        <w:rPr>
          <w:rFonts w:ascii="Thorndale for VST" w:hAnsi="Thorndale for VST" w:cs="Thorndale for VST"/>
          <w:i/>
          <w:iCs/>
          <w:sz w:val="24"/>
          <w:szCs w:val="24"/>
        </w:rPr>
        <w:t>courts of original jurisdiction</w:t>
      </w:r>
      <w:r>
        <w:rPr>
          <w:rFonts w:ascii="Thorndale for VST" w:hAnsi="Thorndale for VST" w:cs="Thorndale for VST"/>
          <w:sz w:val="24"/>
          <w:szCs w:val="24"/>
        </w:rPr>
        <w:t xml:space="preserve"> for felony trials, although only 15% of their caseload involves criminal cases (NCSC, </w:t>
      </w:r>
      <w:r>
        <w:rPr>
          <w:rFonts w:ascii="Thorndale for VST" w:hAnsi="Thorndale for VST" w:cs="Thorndale for VST"/>
          <w:color w:val="0000FF"/>
          <w:sz w:val="24"/>
          <w:szCs w:val="24"/>
          <w:u w:val="single"/>
        </w:rPr>
        <w:t>2003</w:t>
      </w:r>
      <w:r>
        <w:rPr>
          <w:rFonts w:ascii="Thorndale for VST" w:hAnsi="Thorndale for VST" w:cs="Thorndale for VST"/>
          <w:sz w:val="24"/>
          <w:szCs w:val="24"/>
        </w:rPr>
        <w:t xml:space="preserve">). Also, they are responsible for all other matters not reserved for courts of limited jurisdiction, and sometimes, they serve as the appellate court in a trial de novo originating in a lower court. Caseloads vary greatly by jurisdiction. In 2003, for example, 286,266 cases were filed in Florida’s courts of general jurisdiction, while neighboring Alabama had 70,849 (NCSC, </w:t>
      </w:r>
      <w:r>
        <w:rPr>
          <w:rFonts w:ascii="Thorndale for VST" w:hAnsi="Thorndale for VST" w:cs="Thorndale for VST"/>
          <w:color w:val="0000FF"/>
          <w:sz w:val="24"/>
          <w:szCs w:val="24"/>
          <w:u w:val="single"/>
        </w:rPr>
        <w:t>2003</w:t>
      </w:r>
      <w:r>
        <w:rPr>
          <w:rFonts w:ascii="Thorndale for VST" w:hAnsi="Thorndale for VST" w:cs="Thorndale for VST"/>
          <w:sz w:val="24"/>
          <w:szCs w:val="24"/>
        </w:rPr>
        <w:t>).</w:t>
      </w:r>
    </w:p>
    <w:p w:rsidR="003D0DD9" w:rsidRDefault="003D0DD9" w:rsidP="003D0DD9">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 xml:space="preserve">Because of rising caseloads, intermediate appellate courts (also known as </w:t>
      </w:r>
      <w:r>
        <w:rPr>
          <w:rFonts w:ascii="Thorndale for VST" w:hAnsi="Thorndale for VST" w:cs="Thorndale for VST"/>
          <w:i/>
          <w:iCs/>
          <w:sz w:val="24"/>
          <w:szCs w:val="24"/>
        </w:rPr>
        <w:t>courts of appeals</w:t>
      </w:r>
      <w:r>
        <w:rPr>
          <w:rFonts w:ascii="Thorndale for VST" w:hAnsi="Thorndale for VST" w:cs="Thorndale for VST"/>
          <w:sz w:val="24"/>
          <w:szCs w:val="24"/>
        </w:rPr>
        <w:t>) have significantly increased in volume since the founding of most states. Only 11 states and the District of Columbia function without one, with some states having more than one. For the most part, intermediate appellate courts are the courts of first review. Consequently, their caseload is significantly higher than courts of last resort.</w:t>
      </w:r>
    </w:p>
    <w:p w:rsidR="003D0DD9" w:rsidRDefault="003D0DD9" w:rsidP="003D0DD9">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 xml:space="preserve">Courts of last resort are referred to most often as state supreme courts, except in New York where it is known as the </w:t>
      </w:r>
      <w:r>
        <w:rPr>
          <w:rFonts w:ascii="Thorndale for VST" w:hAnsi="Thorndale for VST" w:cs="Thorndale for VST"/>
          <w:i/>
          <w:iCs/>
          <w:sz w:val="24"/>
          <w:szCs w:val="24"/>
        </w:rPr>
        <w:t>court of appeals</w:t>
      </w:r>
      <w:r>
        <w:rPr>
          <w:rFonts w:ascii="Thorndale for VST" w:hAnsi="Thorndale for VST" w:cs="Thorndale for VST"/>
          <w:sz w:val="24"/>
          <w:szCs w:val="24"/>
        </w:rPr>
        <w:t xml:space="preserve">. Like the United States Supreme Court, much of the docket in state supreme courts is discretionary, in that the court decides which cases to hear. This is particularly true in states that do not maintain intermediate appellate cases. Irrespective of appellate structure, many state supreme courts are also obligated to hear automatic appeals stemming from death penalty cases. For the most part, however, their involvement in cases is highly discretionary—reserved for cases with significant legal issues. Their rulings are the final word on issues involving state law. As such, the only available option for unsuccessful parties in criminal matters is to identify a Constitutional issue or to file a </w:t>
      </w:r>
      <w:r>
        <w:rPr>
          <w:rFonts w:ascii="Thorndale for VST" w:hAnsi="Thorndale for VST" w:cs="Thorndale for VST"/>
          <w:b/>
          <w:bCs/>
          <w:color w:val="0000FF"/>
          <w:sz w:val="24"/>
          <w:szCs w:val="24"/>
          <w:u w:val="single"/>
        </w:rPr>
        <w:t>writ of habeas corpus</w:t>
      </w:r>
      <w:r>
        <w:rPr>
          <w:rFonts w:ascii="Thorndale for VST" w:hAnsi="Thorndale for VST" w:cs="Thorndale for VST"/>
          <w:sz w:val="24"/>
          <w:szCs w:val="24"/>
        </w:rPr>
        <w:t xml:space="preserve"> in a federal district court. Many death row inmates, for example, have argued that the imposition of capital punishment represents cruel and unusual punishment and violates the Eighth Amendment. While some have appealed directly to the U.S. Supreme Court, many others have filed writs in district courts.</w:t>
      </w:r>
    </w:p>
    <w:p w:rsidR="003D0DD9" w:rsidRDefault="003D0DD9" w:rsidP="003D0DD9">
      <w:pPr>
        <w:autoSpaceDE w:val="0"/>
        <w:autoSpaceDN w:val="0"/>
        <w:adjustRightInd w:val="0"/>
        <w:spacing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Habeas Corpus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In addition to the Magna Carta, the writ of habeas corpus is considered a significant development in the march toward democracy. Literally, “possession of the body,” a petition for a writ of habeas corpus pleads release from unlawful imprisonment. Successful petitions require the release of a prisoner to a judicial officer who may determine the legality of imprisonment. Considered so vital to concepts of freedom, it is included in Article 1, Section 9 of the U.S. Constitution. To wit, “the privilege of the Writ of Habeas Corpus shall not be suspended, unless when in Cases of Rebellion or Invasion the public </w:t>
      </w:r>
      <w:r>
        <w:rPr>
          <w:rFonts w:ascii="Thorndale for VST" w:hAnsi="Thorndale for VST" w:cs="Thorndale for VST"/>
          <w:sz w:val="24"/>
          <w:szCs w:val="24"/>
        </w:rPr>
        <w:lastRenderedPageBreak/>
        <w:t>Safety may require it.” Petitions are most often filed by individuals who are currently incarcerated.</w:t>
      </w:r>
    </w:p>
    <w:p w:rsidR="003D0DD9" w:rsidRDefault="003D0DD9" w:rsidP="003D0DD9">
      <w:pPr>
        <w:autoSpaceDE w:val="0"/>
        <w:autoSpaceDN w:val="0"/>
        <w:adjustRightInd w:val="0"/>
        <w:spacing w:before="320" w:after="0" w:line="240" w:lineRule="auto"/>
        <w:ind w:left="360"/>
        <w:rPr>
          <w:rFonts w:ascii="Andale Sans for VST" w:hAnsi="Andale Sans for VST" w:cs="Andale Sans for VST"/>
          <w:sz w:val="32"/>
          <w:szCs w:val="32"/>
        </w:rPr>
      </w:pPr>
      <w:r>
        <w:rPr>
          <w:rFonts w:ascii="Andale Sans for VST" w:hAnsi="Andale Sans for VST" w:cs="Andale Sans for VST"/>
          <w:b/>
          <w:bCs/>
          <w:sz w:val="32"/>
          <w:szCs w:val="32"/>
        </w:rPr>
        <w:t>COURTROOM ACTORS</w:t>
      </w:r>
    </w:p>
    <w:p w:rsidR="003D0DD9" w:rsidRDefault="003D0DD9" w:rsidP="003D0DD9">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Theoretically, the American system of criminal justice is based on the concept of advocacy, adversary, and justice. Also, it is designed to be a fact-finding process, an inquisitorial system similar to those established in most civilized and developed countries across the globe.</w:t>
      </w:r>
      <w:r>
        <w:rPr>
          <w:rFonts w:ascii="Thorndale for VST" w:hAnsi="Thorndale for VST" w:cs="Thorndale for VST"/>
          <w:color w:val="0000FF"/>
          <w:sz w:val="24"/>
          <w:szCs w:val="24"/>
          <w:u w:val="single"/>
          <w:vertAlign w:val="superscript"/>
        </w:rPr>
        <w:t>1</w:t>
      </w:r>
      <w:r>
        <w:rPr>
          <w:rFonts w:ascii="Thorndale for VST" w:hAnsi="Thorndale for VST" w:cs="Thorndale for VST"/>
          <w:sz w:val="24"/>
          <w:szCs w:val="24"/>
        </w:rPr>
        <w:t xml:space="preserve"> In theory, the judge is to be a neutral participant, the police are to be fair and impartial, and the prosecutor and the police are to be separate entities. However, the American system of criminal justice has become “an accusatorial and not an inquisitorial system.”</w:t>
      </w:r>
      <w:r>
        <w:rPr>
          <w:rFonts w:ascii="Thorndale for VST" w:hAnsi="Thorndale for VST" w:cs="Thorndale for VST"/>
          <w:color w:val="0000FF"/>
          <w:sz w:val="24"/>
          <w:szCs w:val="24"/>
          <w:u w:val="single"/>
          <w:vertAlign w:val="superscript"/>
        </w:rPr>
        <w:t>2</w:t>
      </w:r>
      <w:r>
        <w:rPr>
          <w:rFonts w:ascii="Thorndale for VST" w:hAnsi="Thorndale for VST" w:cs="Thorndale for VST"/>
          <w:sz w:val="24"/>
          <w:szCs w:val="24"/>
        </w:rPr>
        <w:t xml:space="preserve"> In reality, the American criminal justice system has seemed at times to pervert the ultimate goal of seeking the truth and instead pursue victory at the expense of the truth. In this system, the primary players are the government’s representative and the defense attorney. However, law enforcement officers, community spokespersons, and judges become intimately involved in the eventual outcome. While many could argue that such a system poses dire consequences to the accused, prolific opportunities exist for criminal defense attorneys to pursue justice for their clients.</w:t>
      </w:r>
    </w:p>
    <w:p w:rsidR="003D0DD9" w:rsidRDefault="003D0DD9" w:rsidP="003D0DD9">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Prosecutors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There are three main categories of courtroom actors: prosecutors, defense attorneys, and judges. While all maintain law degrees, their respective roles in court vary dramatically. Like judges, prosecutors receive their mission </w:t>
      </w:r>
      <w:r>
        <w:rPr>
          <w:rFonts w:ascii="Thorndale for VST" w:hAnsi="Thorndale for VST" w:cs="Thorndale for VST"/>
          <w:i/>
          <w:iCs/>
          <w:sz w:val="24"/>
          <w:szCs w:val="24"/>
        </w:rPr>
        <w:t>and</w:t>
      </w:r>
      <w:r>
        <w:rPr>
          <w:rFonts w:ascii="Thorndale for VST" w:hAnsi="Thorndale for VST" w:cs="Thorndale for VST"/>
          <w:sz w:val="24"/>
          <w:szCs w:val="24"/>
        </w:rPr>
        <w:t xml:space="preserve"> their authority from legislation. The Judiciary Act of 1789, for example, provided for the presidential appointment of federal prosecutors (i.e., U.S. attorneys) in each court district and the Office of the Attorney General. The Attorney General’s primary responsibility “shall be to prosecute and conduct all suits in the Supreme Court in which the United States shall be concerned, and to give his advice and opinion upon questions of law when required by the President of the United States, or when requested by the heads of any of the departments.”</w:t>
      </w:r>
      <w:r>
        <w:rPr>
          <w:rFonts w:ascii="Thorndale for VST" w:hAnsi="Thorndale for VST" w:cs="Thorndale for VST"/>
          <w:color w:val="0000FF"/>
          <w:sz w:val="24"/>
          <w:szCs w:val="24"/>
          <w:u w:val="single"/>
          <w:vertAlign w:val="superscript"/>
        </w:rPr>
        <w:t>3</w:t>
      </w:r>
      <w:r>
        <w:rPr>
          <w:rFonts w:ascii="Thorndale for VST" w:hAnsi="Thorndale for VST" w:cs="Thorndale for VST"/>
          <w:sz w:val="24"/>
          <w:szCs w:val="24"/>
        </w:rPr>
        <w:t xml:space="preserve"> The office was soon overburdened, and several assistants and private attorneys were retained. After the Civil War, the office received greater power and autonomy and became the Department of Justice (DOJ). This 1870 Act also established the Office of the Solicitor General and granted the DOJ control over federal law enforcement. Currently, the Attorney General presides over one of the world’s largest law firms and oversees the enforcement of federal laws. State prosecutors, on the other hand, are largely elected officials. Known as </w:t>
      </w:r>
      <w:r>
        <w:rPr>
          <w:rFonts w:ascii="Thorndale for VST" w:hAnsi="Thorndale for VST" w:cs="Thorndale for VST"/>
          <w:i/>
          <w:iCs/>
          <w:sz w:val="24"/>
          <w:szCs w:val="24"/>
        </w:rPr>
        <w:t>district attorneys, solicitors, state’s attorneys</w:t>
      </w:r>
      <w:r>
        <w:rPr>
          <w:rFonts w:ascii="Thorndale for VST" w:hAnsi="Thorndale for VST" w:cs="Thorndale for VST"/>
          <w:sz w:val="24"/>
          <w:szCs w:val="24"/>
        </w:rPr>
        <w:t xml:space="preserve">, and </w:t>
      </w:r>
      <w:r>
        <w:rPr>
          <w:rFonts w:ascii="Thorndale for VST" w:hAnsi="Thorndale for VST" w:cs="Thorndale for VST"/>
          <w:i/>
          <w:iCs/>
          <w:sz w:val="24"/>
          <w:szCs w:val="24"/>
        </w:rPr>
        <w:t>commonwealth attorneys</w:t>
      </w:r>
      <w:r>
        <w:rPr>
          <w:rFonts w:ascii="Thorndale for VST" w:hAnsi="Thorndale for VST" w:cs="Thorndale for VST"/>
          <w:sz w:val="24"/>
          <w:szCs w:val="24"/>
        </w:rPr>
        <w:t>, state prosecutors maintain a largely discretionary caseload and are not bound by law to pursue any particular case.</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According to standards adopted by the American Bar Association, </w:t>
      </w:r>
      <w:r>
        <w:rPr>
          <w:rFonts w:ascii="Thorndale for VST" w:hAnsi="Thorndale for VST" w:cs="Thorndale for VST"/>
          <w:b/>
          <w:bCs/>
          <w:sz w:val="24"/>
          <w:szCs w:val="24"/>
        </w:rPr>
        <w:t>prosecutors</w:t>
      </w:r>
      <w:r>
        <w:rPr>
          <w:rFonts w:ascii="Thorndale for VST" w:hAnsi="Thorndale for VST" w:cs="Thorndale for VST"/>
          <w:sz w:val="24"/>
          <w:szCs w:val="24"/>
        </w:rPr>
        <w:t xml:space="preserve"> are ministers of justice and not solely advocates for the government. Theoretically, this includes assurances of procedural justice and findings of guilt only in cases in which sufficient evidence exists. Prosecutors are ethically bound to exercise restraint in cases in which charges are not supported by probable cause; to cease practices that encourage the </w:t>
      </w:r>
      <w:r>
        <w:rPr>
          <w:rFonts w:ascii="Thorndale for VST" w:hAnsi="Thorndale for VST" w:cs="Thorndale for VST"/>
          <w:sz w:val="24"/>
          <w:szCs w:val="24"/>
        </w:rPr>
        <w:lastRenderedPageBreak/>
        <w:t>waiver of pretrial rights by defendants who are not represented by counsel; to ensure timely disclosure of exculpatory evidence and/or mitigating factors; to make reasonable efforts to ensure that the defendant has been advised of his right to counsel; and to refrain from making extrajudicial statements that have a substantial likelihood of heightening public condemnation of the accused.</w:t>
      </w:r>
    </w:p>
    <w:p w:rsidR="003D0DD9" w:rsidRDefault="003D0DD9" w:rsidP="003D0DD9">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Defense Attorneys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Although they wear assorted hats, criminal </w:t>
      </w:r>
      <w:r>
        <w:rPr>
          <w:rFonts w:ascii="Thorndale for VST" w:hAnsi="Thorndale for VST" w:cs="Thorndale for VST"/>
          <w:b/>
          <w:bCs/>
          <w:color w:val="0000FF"/>
          <w:sz w:val="24"/>
          <w:szCs w:val="24"/>
          <w:u w:val="single"/>
        </w:rPr>
        <w:t>defense attorneys</w:t>
      </w:r>
      <w:r>
        <w:rPr>
          <w:rFonts w:ascii="Thorndale for VST" w:hAnsi="Thorndale for VST" w:cs="Thorndale for VST"/>
          <w:sz w:val="24"/>
          <w:szCs w:val="24"/>
        </w:rPr>
        <w:t xml:space="preserve"> have the primary responsibility of effectively and conscientiously serving as counselor and advocate to the accused. Every felony defendant is entitled to an attorney as provided by case law and the Sixth Amendment to the Constitution. Thus, many defendants retain their own counsel, and indigent defendants are represented by either a public defender or appointed counsel. Government compensation is provided for the defense of the indigent. Public defenders are salaried government employees whose caseload is entirely composed of individuals in economic need, while appointed counsel involves attorneys with private practices who are compensated by the state on a case-by-case basis when they are appointed by the judge to represent an indigent person. While systems for appointment vary by state, states require all sitting members of the bar to participate in a rotating system or to have attorneys volunteer for appointment on a </w:t>
      </w:r>
      <w:r>
        <w:rPr>
          <w:rFonts w:ascii="Thorndale for VST" w:hAnsi="Thorndale for VST" w:cs="Thorndale for VST"/>
          <w:i/>
          <w:iCs/>
          <w:sz w:val="24"/>
          <w:szCs w:val="24"/>
        </w:rPr>
        <w:t>pro bono</w:t>
      </w:r>
      <w:r>
        <w:rPr>
          <w:rFonts w:ascii="Thorndale for VST" w:hAnsi="Thorndale for VST" w:cs="Thorndale for VST"/>
          <w:sz w:val="24"/>
          <w:szCs w:val="24"/>
        </w:rPr>
        <w:t xml:space="preserve"> (i.e., for the public good) basis.</w:t>
      </w:r>
      <w:r>
        <w:rPr>
          <w:rFonts w:ascii="Thorndale for VST" w:hAnsi="Thorndale for VST" w:cs="Thorndale for VST"/>
          <w:color w:val="0000FF"/>
          <w:sz w:val="24"/>
          <w:szCs w:val="24"/>
          <w:u w:val="single"/>
          <w:vertAlign w:val="superscript"/>
        </w:rPr>
        <w:t>4</w:t>
      </w:r>
      <w:r>
        <w:rPr>
          <w:rFonts w:ascii="Thorndale for VST" w:hAnsi="Thorndale for VST" w:cs="Thorndale for VST"/>
          <w:sz w:val="24"/>
          <w:szCs w:val="24"/>
        </w:rPr>
        <w:t xml:space="preserve"> Regardless of the selection procedures and criteria, indigent defendants are only entitled to the counsel appointed to them by the court. They are not entitled to a selection nor are there any provisions for preference.</w:t>
      </w:r>
    </w:p>
    <w:p w:rsidR="003D0DD9" w:rsidRDefault="003D0DD9" w:rsidP="003D0DD9">
      <w:pPr>
        <w:autoSpaceDE w:val="0"/>
        <w:autoSpaceDN w:val="0"/>
        <w:adjustRightInd w:val="0"/>
        <w:spacing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COURTROOM ACTORS AT A GLANCE</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The American criminal justice system is designed to be adversarial, not inquisitorial. Ostensibly designed to be a fact-finding process, the system provides for two opposing advocates to present all relevant information to a jury and function within legal boundaries as an unbiased legal expert.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The </w:t>
      </w:r>
      <w:r>
        <w:rPr>
          <w:rFonts w:ascii="Thorndale for VST" w:hAnsi="Thorndale for VST" w:cs="Thorndale for VST"/>
          <w:b/>
          <w:bCs/>
          <w:color w:val="0000FF"/>
          <w:sz w:val="24"/>
          <w:szCs w:val="24"/>
          <w:u w:val="single"/>
        </w:rPr>
        <w:t>defense attorney</w:t>
      </w:r>
      <w:r>
        <w:rPr>
          <w:rFonts w:ascii="Thorndale for VST" w:hAnsi="Thorndale for VST" w:cs="Thorndale for VST"/>
          <w:sz w:val="24"/>
          <w:szCs w:val="24"/>
        </w:rPr>
        <w:t xml:space="preserve"> has the responsibility to:</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imes New Roman" w:hAnsi="Times New Roman" w:cs="Times New Roman"/>
          <w:sz w:val="24"/>
          <w:szCs w:val="24"/>
        </w:rPr>
        <w:t>■</w:t>
      </w:r>
      <w:r>
        <w:rPr>
          <w:rFonts w:ascii="Thorndale for VST" w:hAnsi="Thorndale for VST" w:cs="Thorndale for VST"/>
          <w:sz w:val="24"/>
          <w:szCs w:val="24"/>
        </w:rPr>
        <w:tab/>
        <w:t>Seek justice (The system emphasizes the seeking of truth, not simply a conviction.)</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imes New Roman" w:hAnsi="Times New Roman" w:cs="Times New Roman"/>
          <w:sz w:val="24"/>
          <w:szCs w:val="24"/>
        </w:rPr>
        <w:t>■</w:t>
      </w:r>
      <w:r>
        <w:rPr>
          <w:rFonts w:ascii="Thorndale for VST" w:hAnsi="Thorndale for VST" w:cs="Thorndale for VST"/>
          <w:sz w:val="24"/>
          <w:szCs w:val="24"/>
        </w:rPr>
        <w:tab/>
        <w:t>Engage in an adversarial system to zealously protect clients’ rights and attempt to create reasonable doubt in the minds of the jury</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The </w:t>
      </w:r>
      <w:r>
        <w:rPr>
          <w:rFonts w:ascii="Thorndale for VST" w:hAnsi="Thorndale for VST" w:cs="Thorndale for VST"/>
          <w:b/>
          <w:bCs/>
          <w:sz w:val="24"/>
          <w:szCs w:val="24"/>
        </w:rPr>
        <w:t>presiding judge</w:t>
      </w:r>
      <w:r>
        <w:rPr>
          <w:rFonts w:ascii="Thorndale for VST" w:hAnsi="Thorndale for VST" w:cs="Thorndale for VST"/>
          <w:sz w:val="24"/>
          <w:szCs w:val="24"/>
        </w:rPr>
        <w:t xml:space="preserve"> has the responsibility to:</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imes New Roman" w:hAnsi="Times New Roman" w:cs="Times New Roman"/>
          <w:sz w:val="24"/>
          <w:szCs w:val="24"/>
        </w:rPr>
        <w:t>■</w:t>
      </w:r>
      <w:r>
        <w:rPr>
          <w:rFonts w:ascii="Thorndale for VST" w:hAnsi="Thorndale for VST" w:cs="Thorndale for VST"/>
          <w:sz w:val="24"/>
          <w:szCs w:val="24"/>
        </w:rPr>
        <w:tab/>
        <w:t>Serve the interests of his or her client</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imes New Roman" w:hAnsi="Times New Roman" w:cs="Times New Roman"/>
          <w:sz w:val="24"/>
          <w:szCs w:val="24"/>
        </w:rPr>
        <w:t>■</w:t>
      </w:r>
      <w:r>
        <w:rPr>
          <w:rFonts w:ascii="Thorndale for VST" w:hAnsi="Thorndale for VST" w:cs="Thorndale for VST"/>
          <w:sz w:val="24"/>
          <w:szCs w:val="24"/>
        </w:rPr>
        <w:tab/>
        <w:t>Attempt to demonstrate to a fair and impartial jury that the defendant is guilty beyond a reasonable doubt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The </w:t>
      </w:r>
      <w:r>
        <w:rPr>
          <w:rFonts w:ascii="Thorndale for VST" w:hAnsi="Thorndale for VST" w:cs="Thorndale for VST"/>
          <w:b/>
          <w:bCs/>
          <w:color w:val="0000FF"/>
          <w:sz w:val="24"/>
          <w:szCs w:val="24"/>
          <w:u w:val="single"/>
        </w:rPr>
        <w:t>prosecuting attorney</w:t>
      </w:r>
      <w:r>
        <w:rPr>
          <w:rFonts w:ascii="Thorndale for VST" w:hAnsi="Thorndale for VST" w:cs="Thorndale for VST"/>
          <w:sz w:val="24"/>
          <w:szCs w:val="24"/>
        </w:rPr>
        <w:t xml:space="preserve"> has the responsibility to:</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imes New Roman" w:hAnsi="Times New Roman" w:cs="Times New Roman"/>
          <w:sz w:val="24"/>
          <w:szCs w:val="24"/>
        </w:rPr>
        <w:t>■</w:t>
      </w:r>
      <w:r>
        <w:rPr>
          <w:rFonts w:ascii="Thorndale for VST" w:hAnsi="Thorndale for VST" w:cs="Thorndale for VST"/>
          <w:sz w:val="24"/>
          <w:szCs w:val="24"/>
        </w:rPr>
        <w:tab/>
        <w:t>Protect the rights of the accused</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imes New Roman" w:hAnsi="Times New Roman" w:cs="Times New Roman"/>
          <w:sz w:val="24"/>
          <w:szCs w:val="24"/>
        </w:rPr>
        <w:t>■</w:t>
      </w:r>
      <w:r>
        <w:rPr>
          <w:rFonts w:ascii="Thorndale for VST" w:hAnsi="Thorndale for VST" w:cs="Thorndale for VST"/>
          <w:sz w:val="24"/>
          <w:szCs w:val="24"/>
        </w:rPr>
        <w:tab/>
        <w:t>Protect the public interest</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Defense attorneys have various roles in the American system of criminal justice. Their primary role, as stated earlier, involves the advocacy and counsel of the defendant, with all the duty, diligence, and fortitude these entail. Defense attorneys are ethically bound to avoid delays by all legal means available, including the maintenance of a workable caseload, and should diligently meet all deadlines established by applicable rules so as not to harm their clients’ interests. They should continue their education and training so as to best serve their clients. They are expected to develop a relationship of trust and confidence with the accused and to further this by keeping the defendant fully apprised of all aspects of the case. They are expected to discuss all possible outcomes of a case frankly, including giving a candid assessment of the expectations. They are obligated to enter into plea negotiations on behalf of their client while protecting the defendant’s rights. They must also protect the legal interest of their client even in cases in which the defendant is adverse to such. This includes strategic and tactical decisions of the trial process. Before trial initiation, they are expected to conduct a complete investigation of the facts of the case, applicable laws, and any appropriate issues requiring expert assistance. During sentencing, the defense should attempt to secure the lowest possible sentence for the accused. Often, this is accomplished through an examination of current sentencing guidelines, an understanding of relevant past cases, and a presentation of mitigating factors. Defense counsel is also responsible for presenting appropriate posttrial motions to secure the right of appeal, irrespective of a continuing contractual relationship. Defense attorneys also are responsible for informing the defendant of appellate options, potential outcomes, and important deadlines.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Although often demonized by the media, defense attorneys are essential to the American system of criminal justice. Without them, the process and all premises in the Constitution and Bill of Rights would be null and void. Their presence is necessary for advocacy. It is important to note that defense attorneys ethically are prohibited from avoiding participation in controversial or otherwise unpopular cases—except in the case of good cause. Thus, their representation of an individual accused of a particularly heinous crime is not indicative of their personal assessment of the case or of the defendant. Zealously defending clients in a court of law is their ethical duty.</w:t>
      </w:r>
    </w:p>
    <w:p w:rsidR="003D0DD9" w:rsidRDefault="003D0DD9" w:rsidP="003D0DD9">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Judges</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noProof/>
          <w:sz w:val="24"/>
          <w:szCs w:val="24"/>
        </w:rPr>
        <w:drawing>
          <wp:inline distT="0" distB="0" distL="0" distR="0">
            <wp:extent cx="5470525" cy="41503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70525" cy="4150360"/>
                    </a:xfrm>
                    <a:prstGeom prst="rect">
                      <a:avLst/>
                    </a:prstGeom>
                    <a:noFill/>
                    <a:ln>
                      <a:noFill/>
                    </a:ln>
                  </pic:spPr>
                </pic:pic>
              </a:graphicData>
            </a:graphic>
          </wp:inline>
        </w:drawing>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i/>
          <w:iCs/>
          <w:sz w:val="24"/>
          <w:szCs w:val="24"/>
        </w:rPr>
        <w:t>In criminal proceedings, trial court judges have three primary responsibilities: rule compliance, jury instructions, and legal determination</w:t>
      </w:r>
      <w:r>
        <w:rPr>
          <w:rFonts w:ascii="Thorndale for VST" w:hAnsi="Thorndale for VST" w:cs="Thorndale for VST"/>
          <w:sz w:val="24"/>
          <w:szCs w:val="24"/>
        </w:rPr>
        <w:t>.</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Like prosecutors and defense attorneys, </w:t>
      </w:r>
      <w:r>
        <w:rPr>
          <w:rFonts w:ascii="Thorndale for VST" w:hAnsi="Thorndale for VST" w:cs="Thorndale for VST"/>
          <w:b/>
          <w:bCs/>
          <w:color w:val="0000FF"/>
          <w:sz w:val="24"/>
          <w:szCs w:val="24"/>
          <w:u w:val="single"/>
        </w:rPr>
        <w:t>judges</w:t>
      </w:r>
      <w:r>
        <w:rPr>
          <w:rFonts w:ascii="Thorndale for VST" w:hAnsi="Thorndale for VST" w:cs="Thorndale for VST"/>
          <w:sz w:val="24"/>
          <w:szCs w:val="24"/>
        </w:rPr>
        <w:t xml:space="preserve"> perform various roles during the administration of justice. At its core, the judge’s role may be characterized as a referee—serving to ensure fairness and good sportsmanship between the parties. Judges are expected to be impartial and to fulfill three primary responsibilities during the trial process: comply with the rules, instruct the jury, and make appropriate legal determinations. Unlike the jury, which is responsible for evaluating the weight of the evidence, the judge is responsible for evaluating the admissibility of the evidence. His or her job, for example, is to ensure that evidence collected illegally, evidence that is unduly prejudicial, or evidence that is irrelevant to the facts of the case is excluded from presentment. The judge is an interpreter of the law and must rule on motions and objections. In addition, the judge is responsible for maintaining decorum in the courtroom and for appropriately applying the rules of evidence. This includes ruling on questions of relevancy, vicinage, and materiality. Also, the judge is tasked with determining the competence of witnesses and assessing the qualification of expert witnesses. Finally, the judge is responsible for instructing the jury on the law or laws applicable to the case. These </w:t>
      </w:r>
      <w:r>
        <w:rPr>
          <w:rFonts w:ascii="Thorndale for VST" w:hAnsi="Thorndale for VST" w:cs="Thorndale for VST"/>
          <w:b/>
          <w:bCs/>
          <w:color w:val="0000FF"/>
          <w:sz w:val="24"/>
          <w:szCs w:val="24"/>
          <w:u w:val="single"/>
        </w:rPr>
        <w:t>jury instructions</w:t>
      </w:r>
      <w:r>
        <w:rPr>
          <w:rFonts w:ascii="Thorndale for VST" w:hAnsi="Thorndale for VST" w:cs="Thorndale for VST"/>
          <w:sz w:val="24"/>
          <w:szCs w:val="24"/>
        </w:rPr>
        <w:t xml:space="preserve"> include, but are not limited to: the elements of the crime, the burden of proof, the standard of proof, and admonitions against external influences. Proper instruction of the jury is extremely important. Failure to do so can constitute an error of such magnitude that the decision gets reversed on appeal. This is known as </w:t>
      </w:r>
      <w:r>
        <w:rPr>
          <w:rFonts w:ascii="Thorndale for VST" w:hAnsi="Thorndale for VST" w:cs="Thorndale for VST"/>
          <w:b/>
          <w:bCs/>
          <w:color w:val="0000FF"/>
          <w:sz w:val="24"/>
          <w:szCs w:val="24"/>
          <w:u w:val="single"/>
        </w:rPr>
        <w:t>reversible error</w:t>
      </w:r>
      <w:r>
        <w:rPr>
          <w:rFonts w:ascii="Thorndale for VST" w:hAnsi="Thorndale for VST" w:cs="Thorndale for VST"/>
          <w:sz w:val="24"/>
          <w:szCs w:val="24"/>
        </w:rPr>
        <w:t>.</w:t>
      </w:r>
    </w:p>
    <w:p w:rsidR="003D0DD9" w:rsidRDefault="003D0DD9" w:rsidP="003D0DD9">
      <w:pPr>
        <w:autoSpaceDE w:val="0"/>
        <w:autoSpaceDN w:val="0"/>
        <w:adjustRightInd w:val="0"/>
        <w:spacing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Reversible Error</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On May 31, 2005, the U.S. Supreme Court reversed the conviction of Arthur Andersen LLP for shredding Enron documents during a federal investigation. The Court ruled: “… the jury instructions failed to convey the requisite consciousness of wrongdoing. Indeed, it is striking how little culpability the instructions required…. The jury was told that, even if petitioner honestly and sincerely believed its conduct was lawful, the jury could convict.” (</w:t>
      </w:r>
      <w:r>
        <w:rPr>
          <w:rFonts w:ascii="Thorndale for VST" w:hAnsi="Thorndale for VST" w:cs="Thorndale for VST"/>
          <w:i/>
          <w:iCs/>
          <w:sz w:val="24"/>
          <w:szCs w:val="24"/>
        </w:rPr>
        <w:t>Arthur Andersen LLP v. United States</w:t>
      </w:r>
      <w:r>
        <w:rPr>
          <w:rFonts w:ascii="Thorndale for VST" w:hAnsi="Thorndale for VST" w:cs="Thorndale for VST"/>
          <w:sz w:val="24"/>
          <w:szCs w:val="24"/>
        </w:rPr>
        <w:t>, U.S., No. 04-368, 5/31/05)</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The federal rules of evidence, and some state rules, also allow judges to independently call and question witnesses.</w:t>
      </w:r>
    </w:p>
    <w:p w:rsidR="003D0DD9" w:rsidRDefault="003D0DD9" w:rsidP="003D0DD9">
      <w:pPr>
        <w:autoSpaceDE w:val="0"/>
        <w:autoSpaceDN w:val="0"/>
        <w:adjustRightInd w:val="0"/>
        <w:spacing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FEDERAL RULES OF EVIDENCE.</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b/>
          <w:bCs/>
          <w:sz w:val="24"/>
          <w:szCs w:val="24"/>
        </w:rPr>
        <w:t>Rule 614. Calling and Interrogation of Witnesses by Court</w:t>
      </w:r>
      <w:r>
        <w:rPr>
          <w:rFonts w:ascii="Thorndale for VST" w:hAnsi="Thorndale for VST" w:cs="Thorndale for VST"/>
          <w:sz w:val="24"/>
          <w:szCs w:val="24"/>
        </w:rPr>
        <w:t>.</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a.</w:t>
      </w:r>
      <w:r>
        <w:rPr>
          <w:rFonts w:ascii="Thorndale for VST" w:hAnsi="Thorndale for VST" w:cs="Thorndale for VST"/>
          <w:sz w:val="24"/>
          <w:szCs w:val="24"/>
        </w:rPr>
        <w:tab/>
      </w:r>
      <w:r>
        <w:rPr>
          <w:rFonts w:ascii="Thorndale for VST" w:hAnsi="Thorndale for VST" w:cs="Thorndale for VST"/>
          <w:b/>
          <w:bCs/>
          <w:sz w:val="24"/>
          <w:szCs w:val="24"/>
        </w:rPr>
        <w:t>Calling by Court</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The court may, on its own motion or at the suggestion of a party, call witnesses, and all parties are entitled to cross-examine witnesses thus called.</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b.</w:t>
      </w:r>
      <w:r>
        <w:rPr>
          <w:rFonts w:ascii="Thorndale for VST" w:hAnsi="Thorndale for VST" w:cs="Thorndale for VST"/>
          <w:sz w:val="24"/>
          <w:szCs w:val="24"/>
        </w:rPr>
        <w:tab/>
      </w:r>
      <w:r>
        <w:rPr>
          <w:rFonts w:ascii="Thorndale for VST" w:hAnsi="Thorndale for VST" w:cs="Thorndale for VST"/>
          <w:b/>
          <w:bCs/>
          <w:sz w:val="24"/>
          <w:szCs w:val="24"/>
        </w:rPr>
        <w:t>Interrogation by Court</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The court may interrogate witnesses, whether called by itself or by a party.</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c.</w:t>
      </w:r>
      <w:r>
        <w:rPr>
          <w:rFonts w:ascii="Thorndale for VST" w:hAnsi="Thorndale for VST" w:cs="Thorndale for VST"/>
          <w:sz w:val="24"/>
          <w:szCs w:val="24"/>
        </w:rPr>
        <w:tab/>
      </w:r>
      <w:r>
        <w:rPr>
          <w:rFonts w:ascii="Thorndale for VST" w:hAnsi="Thorndale for VST" w:cs="Thorndale for VST"/>
          <w:b/>
          <w:bCs/>
          <w:sz w:val="24"/>
          <w:szCs w:val="24"/>
        </w:rPr>
        <w:t>Objections</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Objections to the calling of witnesses by the court or to interrogation by it may be made at the time or at the next available opportunity when the jury is not present.</w:t>
      </w:r>
    </w:p>
    <w:p w:rsidR="003D0DD9" w:rsidRDefault="003D0DD9" w:rsidP="003D0DD9">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Selection of Federal and State Judges.</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Judges are selected in a variety of ways. As stated previously, all federal judges are appointed for life terms with the exception of bankruptcy judges who are appointed for terms of 14 years. Appointments are made in many states—a historical artifact of the Judiciary Act of 1789 in the federal system. In state and federal systems, appointments are made by the chief executive officer of the jurisdiction.</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Another method of selecting state judges is through popular election. This approach gained popularity in the mid-nineteenth century, immediately before the Civil War, when many states revitalized their state constitutions. The judicial revision movement was especially strong in the free and slave states, in response to the fact that judgeships were awarded based not on competence but on patronage dawned (Hall, </w:t>
      </w:r>
      <w:r>
        <w:rPr>
          <w:rFonts w:ascii="Thorndale for VST" w:hAnsi="Thorndale for VST" w:cs="Thorndale for VST"/>
          <w:color w:val="0000FF"/>
          <w:sz w:val="24"/>
          <w:szCs w:val="24"/>
          <w:u w:val="single"/>
        </w:rPr>
        <w:t>1983</w:t>
      </w:r>
      <w:r>
        <w:rPr>
          <w:rFonts w:ascii="Thorndale for VST" w:hAnsi="Thorndale for VST" w:cs="Thorndale for VST"/>
          <w:sz w:val="24"/>
          <w:szCs w:val="24"/>
        </w:rPr>
        <w:t>). Such realization, coupled with the strength of Jacksonian Democrats, significantly altered the method of judicial selection in many states. In 1832, Mississippi became the first state to formally change its constitution to allow for the popular election of judges. Most states admitted to the Union later adopted a system of popular elections for judicial officers. Currently, nine states use partisan ballots and 13 use nonpartisan ballots to elect judges.</w:t>
      </w:r>
    </w:p>
    <w:p w:rsidR="003D0DD9" w:rsidRDefault="003D0DD9" w:rsidP="003D0DD9">
      <w:pPr>
        <w:autoSpaceDE w:val="0"/>
        <w:autoSpaceDN w:val="0"/>
        <w:adjustRightInd w:val="0"/>
        <w:spacing w:after="0" w:line="240" w:lineRule="auto"/>
        <w:ind w:left="900"/>
        <w:rPr>
          <w:rFonts w:ascii="Andale Sans for VST" w:hAnsi="Andale Sans for VST" w:cs="Andale Sans for VST"/>
          <w:sz w:val="32"/>
          <w:szCs w:val="32"/>
        </w:rPr>
      </w:pPr>
      <w:r>
        <w:rPr>
          <w:rFonts w:ascii="Andale Sans for VST" w:hAnsi="Andale Sans for VST" w:cs="Andale Sans for VST"/>
          <w:b/>
          <w:bCs/>
          <w:sz w:val="32"/>
          <w:szCs w:val="32"/>
        </w:rPr>
        <w:t>Divinity and Justice</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 xml:space="preserve">Historically, judges have been assumed to be just. One notable example was the Irish judge, Morann: “… who wore a gold collar; for when his judgment was just, the collar grew larger and fell to his waist, but if it should be unjust, the collar would grow smaller about his neck and choke him.” (Wigmore, </w:t>
      </w:r>
      <w:r>
        <w:rPr>
          <w:rFonts w:ascii="Thorndale for VST" w:hAnsi="Thorndale for VST" w:cs="Thorndale for VST"/>
          <w:color w:val="0000FF"/>
          <w:sz w:val="24"/>
          <w:szCs w:val="24"/>
          <w:u w:val="single"/>
        </w:rPr>
        <w:t>1928</w:t>
      </w:r>
      <w:r>
        <w:rPr>
          <w:rFonts w:ascii="Thorndale for VST" w:hAnsi="Thorndale for VST" w:cs="Thorndale for VST"/>
          <w:sz w:val="24"/>
          <w:szCs w:val="24"/>
        </w:rPr>
        <w:t>: 668)</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The third method of selection is commonly known as the </w:t>
      </w:r>
      <w:r>
        <w:rPr>
          <w:rFonts w:ascii="Thorndale for VST" w:hAnsi="Thorndale for VST" w:cs="Thorndale for VST"/>
          <w:i/>
          <w:iCs/>
          <w:sz w:val="24"/>
          <w:szCs w:val="24"/>
        </w:rPr>
        <w:t>Missouri plan</w:t>
      </w:r>
      <w:r>
        <w:rPr>
          <w:rFonts w:ascii="Thorndale for VST" w:hAnsi="Thorndale for VST" w:cs="Thorndale for VST"/>
          <w:sz w:val="24"/>
          <w:szCs w:val="24"/>
        </w:rPr>
        <w:t>. This approach can be characterized as a hybrid—an appointed-elective system. Originally created by the American Judicature Society in 1909, the final method of selecting judges is through the merit system, which includes three primary steps:</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b/>
          <w:bCs/>
          <w:sz w:val="24"/>
          <w:szCs w:val="24"/>
        </w:rPr>
        <w:t>1</w:t>
      </w:r>
      <w:r>
        <w:rPr>
          <w:rFonts w:ascii="Thorndale for VST" w:hAnsi="Thorndale for VST" w:cs="Thorndale for VST"/>
          <w:sz w:val="24"/>
          <w:szCs w:val="24"/>
        </w:rPr>
        <w:t>.</w:t>
      </w:r>
      <w:r>
        <w:rPr>
          <w:rFonts w:ascii="Thorndale for VST" w:hAnsi="Thorndale for VST" w:cs="Thorndale for VST"/>
          <w:sz w:val="24"/>
          <w:szCs w:val="24"/>
        </w:rPr>
        <w:tab/>
        <w:t>Development of a list of qualified candidates from a nonpartisan judicial nominating committee</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b/>
          <w:bCs/>
          <w:sz w:val="24"/>
          <w:szCs w:val="24"/>
        </w:rPr>
        <w:t>2</w:t>
      </w:r>
      <w:r>
        <w:rPr>
          <w:rFonts w:ascii="Thorndale for VST" w:hAnsi="Thorndale for VST" w:cs="Thorndale for VST"/>
          <w:sz w:val="24"/>
          <w:szCs w:val="24"/>
        </w:rPr>
        <w:t>.</w:t>
      </w:r>
      <w:r>
        <w:rPr>
          <w:rFonts w:ascii="Thorndale for VST" w:hAnsi="Thorndale for VST" w:cs="Thorndale for VST"/>
          <w:sz w:val="24"/>
          <w:szCs w:val="24"/>
        </w:rPr>
        <w:tab/>
        <w:t>Appointment by the chief executive officer in a jurisdiction (i.e., governor)</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b/>
          <w:bCs/>
          <w:sz w:val="24"/>
          <w:szCs w:val="24"/>
        </w:rPr>
        <w:t>3</w:t>
      </w:r>
      <w:r>
        <w:rPr>
          <w:rFonts w:ascii="Thorndale for VST" w:hAnsi="Thorndale for VST" w:cs="Thorndale for VST"/>
          <w:sz w:val="24"/>
          <w:szCs w:val="24"/>
        </w:rPr>
        <w:t>.</w:t>
      </w:r>
      <w:r>
        <w:rPr>
          <w:rFonts w:ascii="Thorndale for VST" w:hAnsi="Thorndale for VST" w:cs="Thorndale for VST"/>
          <w:sz w:val="24"/>
          <w:szCs w:val="24"/>
        </w:rPr>
        <w:tab/>
        <w:t>Periodic submission to the electorate for retention or removal</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Each approach was designed to provide for heightened levels of accountability, independence, and impartiality by the judiciary, but all have faced significant criticism. Not surprisingly, the most heavily criticized are systems of appointment and merit. Proponents of the appointed system, for example, argue that lifetime appointments are necessary to negate external influences thereby increasing assurances of impartiality. At the same time, opponents argue that appointed positions are inherently political and can pervert the notions of justice and fair play. Proponents of the merit process argue that the periodic election component ensures judicial accountability, while opponents argue that the modified system is nothing more than a smokescreen designed to obscure political connections. Examination of all reveals one thing—continuing controversy surrounds the selection of judiciary within state systems. Regardless of the controversy, the merit system for judicial selection is gaining in popularity.</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noProof/>
          <w:sz w:val="24"/>
          <w:szCs w:val="24"/>
        </w:rPr>
        <w:drawing>
          <wp:inline distT="0" distB="0" distL="0" distR="0">
            <wp:extent cx="5422900" cy="3609975"/>
            <wp:effectExtent l="0" t="0" r="635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22900" cy="3609975"/>
                    </a:xfrm>
                    <a:prstGeom prst="rect">
                      <a:avLst/>
                    </a:prstGeom>
                    <a:noFill/>
                    <a:ln>
                      <a:noFill/>
                    </a:ln>
                  </pic:spPr>
                </pic:pic>
              </a:graphicData>
            </a:graphic>
          </wp:inline>
        </w:drawing>
      </w:r>
    </w:p>
    <w:p w:rsidR="003D0DD9" w:rsidRDefault="003D0DD9" w:rsidP="003D0DD9">
      <w:pPr>
        <w:autoSpaceDE w:val="0"/>
        <w:autoSpaceDN w:val="0"/>
        <w:adjustRightInd w:val="0"/>
        <w:spacing w:before="240" w:after="0" w:line="240" w:lineRule="auto"/>
        <w:ind w:left="1080"/>
        <w:rPr>
          <w:rFonts w:ascii="Thorndale for VST" w:hAnsi="Thorndale for VST" w:cs="Thorndale for VST"/>
          <w:sz w:val="24"/>
          <w:szCs w:val="24"/>
        </w:rPr>
      </w:pPr>
      <w:r>
        <w:rPr>
          <w:rFonts w:ascii="Thorndale for VST" w:hAnsi="Thorndale for VST" w:cs="Thorndale for VST"/>
          <w:i/>
          <w:iCs/>
          <w:sz w:val="24"/>
          <w:szCs w:val="24"/>
        </w:rPr>
        <w:t>With the addition of the Supreme Court’s newest member, Justice Samuel Alito Jr., top row at right, the high court sits for a new group photograph, Friday, March 3, 2006, at the Supreme Court Building in Washington. Seated in the front row, from left to right are: Associate Justice Anthony M. Kennedy, Associate Justice John Paul Stevens, Chief Justice of the United States John G. Roberts, Associate Justice Antonin Scalia, and Associate Justice David Souter. Standing, from left to right, in the top row, are: Associate Justice Stephen Breyer, Associate Justice Clarence Thomas, Associate Justice Ruth Bader Ginsburg, and Associate Justice Samuel Alito Jr. Alito who took his seat on the court Feb. 21, replacing Sandra Day O’Connor, who made history in 1981 as the first woman to join the Supreme Court. Justice Stevens, nominated by President Gerald Ford, is now the longest serving member of the current court; he took his seat in December 1975</w:t>
      </w:r>
      <w:r>
        <w:rPr>
          <w:rFonts w:ascii="Thorndale for VST" w:hAnsi="Thorndale for VST" w:cs="Thorndale for VST"/>
          <w:sz w:val="24"/>
          <w:szCs w:val="24"/>
        </w:rPr>
        <w:t>.</w:t>
      </w:r>
    </w:p>
    <w:p w:rsidR="003D0DD9" w:rsidRDefault="003D0DD9" w:rsidP="003D0DD9">
      <w:pPr>
        <w:autoSpaceDE w:val="0"/>
        <w:autoSpaceDN w:val="0"/>
        <w:adjustRightInd w:val="0"/>
        <w:spacing w:before="320" w:after="0" w:line="240" w:lineRule="auto"/>
        <w:ind w:left="360"/>
        <w:rPr>
          <w:rFonts w:ascii="Andale Sans for VST" w:hAnsi="Andale Sans for VST" w:cs="Andale Sans for VST"/>
          <w:sz w:val="32"/>
          <w:szCs w:val="32"/>
        </w:rPr>
      </w:pPr>
      <w:r>
        <w:rPr>
          <w:rFonts w:ascii="Andale Sans for VST" w:hAnsi="Andale Sans for VST" w:cs="Andale Sans for VST"/>
          <w:b/>
          <w:bCs/>
          <w:sz w:val="32"/>
          <w:szCs w:val="32"/>
        </w:rPr>
        <w:t>THE CRIMINAL JUSTICE PROCESS</w:t>
      </w:r>
    </w:p>
    <w:p w:rsidR="003D0DD9" w:rsidRDefault="003D0DD9" w:rsidP="003D0DD9">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The parameters of this book preclude an exhaustive discussion of the criminal justice process, but highlights of the trial process are discussed next.</w:t>
      </w:r>
    </w:p>
    <w:p w:rsidR="003D0DD9" w:rsidRDefault="003D0DD9" w:rsidP="003D0DD9">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Pretrial Proceedings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Although much attention is garnered by the actual trial of a defendant, especially in high profile cases, much activity occurs before the trial even begins. A great deal of work is completed by actors outside the physical courtroom, and each actor has an essential role to play in the American criminal justice system.</w:t>
      </w:r>
    </w:p>
    <w:p w:rsidR="003D0DD9" w:rsidRDefault="003D0DD9" w:rsidP="003D0DD9">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Complaints.</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In most states, several avenues exist for the processing of criminal complaints. By definition, a </w:t>
      </w:r>
      <w:r>
        <w:rPr>
          <w:rFonts w:ascii="Thorndale for VST" w:hAnsi="Thorndale for VST" w:cs="Thorndale for VST"/>
          <w:b/>
          <w:bCs/>
          <w:color w:val="0000FF"/>
          <w:sz w:val="24"/>
          <w:szCs w:val="24"/>
          <w:u w:val="single"/>
        </w:rPr>
        <w:t>criminal complaint</w:t>
      </w:r>
      <w:r>
        <w:rPr>
          <w:rFonts w:ascii="Thorndale for VST" w:hAnsi="Thorndale for VST" w:cs="Thorndale for VST"/>
          <w:sz w:val="24"/>
          <w:szCs w:val="24"/>
        </w:rPr>
        <w:t xml:space="preserve"> is a legal document, filed with the appropriate judicial authority, that initiates prosecution of an alleged offense. Most often, a local magistrate or court official files the complaints, but private citizens, prosecuting attorneys, and law enforcement officials can file them as well. Criminal complaints must include the specifics of the incident in question, including, but not limited to the offense charged; the time, date, and place of occurrence; and the name of the suspected offender. While specificity is important in a general sense, it is especially important in terms of date and place. The date of the offense in question is important to ensure that the </w:t>
      </w:r>
      <w:r>
        <w:rPr>
          <w:rFonts w:ascii="Thorndale for VST" w:hAnsi="Thorndale for VST" w:cs="Thorndale for VST"/>
          <w:b/>
          <w:bCs/>
          <w:color w:val="0000FF"/>
          <w:sz w:val="24"/>
          <w:szCs w:val="24"/>
          <w:u w:val="single"/>
        </w:rPr>
        <w:t>statute of limitations</w:t>
      </w:r>
      <w:r>
        <w:rPr>
          <w:rFonts w:ascii="Thorndale for VST" w:hAnsi="Thorndale for VST" w:cs="Thorndale for VST"/>
          <w:sz w:val="24"/>
          <w:szCs w:val="24"/>
        </w:rPr>
        <w:t xml:space="preserve"> has not expired. Specifying jurisdiction will ensure legal </w:t>
      </w:r>
      <w:r>
        <w:rPr>
          <w:rFonts w:ascii="Thorndale for VST" w:hAnsi="Thorndale for VST" w:cs="Thorndale for VST"/>
          <w:b/>
          <w:bCs/>
          <w:color w:val="0000FF"/>
          <w:sz w:val="24"/>
          <w:szCs w:val="24"/>
          <w:u w:val="single"/>
        </w:rPr>
        <w:t>vicinage</w:t>
      </w:r>
      <w:r>
        <w:rPr>
          <w:rFonts w:ascii="Thorndale for VST" w:hAnsi="Thorndale for VST" w:cs="Thorndale for VST"/>
          <w:sz w:val="24"/>
          <w:szCs w:val="24"/>
        </w:rPr>
        <w:t xml:space="preserve">, or the statutory jurisdiction of a particular court. In most states, the criminal complaint also serves as the charging document for preliminary hearings. The </w:t>
      </w:r>
      <w:r>
        <w:rPr>
          <w:rFonts w:ascii="Thorndale for VST" w:hAnsi="Thorndale for VST" w:cs="Thorndale for VST"/>
          <w:i/>
          <w:iCs/>
          <w:sz w:val="24"/>
          <w:szCs w:val="24"/>
        </w:rPr>
        <w:t>filing</w:t>
      </w:r>
      <w:r>
        <w:rPr>
          <w:rFonts w:ascii="Thorndale for VST" w:hAnsi="Thorndale for VST" w:cs="Thorndale for VST"/>
          <w:sz w:val="24"/>
          <w:szCs w:val="24"/>
        </w:rPr>
        <w:t xml:space="preserve"> of the complaint is the delivery of a complaint to the court clerk for placement on the docket. In addition, many arrest and search </w:t>
      </w:r>
      <w:r>
        <w:rPr>
          <w:rFonts w:ascii="Thorndale for VST" w:hAnsi="Thorndale for VST" w:cs="Thorndale for VST"/>
          <w:b/>
          <w:bCs/>
          <w:color w:val="0000FF"/>
          <w:sz w:val="24"/>
          <w:szCs w:val="24"/>
          <w:u w:val="single"/>
        </w:rPr>
        <w:t>warrants</w:t>
      </w:r>
      <w:r>
        <w:rPr>
          <w:rFonts w:ascii="Thorndale for VST" w:hAnsi="Thorndale for VST" w:cs="Thorndale for VST"/>
          <w:sz w:val="24"/>
          <w:szCs w:val="24"/>
        </w:rPr>
        <w:t xml:space="preserve"> are predicated on information contained within criminal complaints. As established in the Bill of Rights, search and arrest warrants must be based on probable cause. In particular, they must describe the items in question and their probable location. Warrants are issued singularly to law enforcement personnel upon sworn affidavit.</w:t>
      </w:r>
    </w:p>
    <w:p w:rsidR="003D0DD9" w:rsidRDefault="003D0DD9" w:rsidP="003D0DD9">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Arraignment.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Upon arrest, a suspect is taken to a public law enforcement establishment for </w:t>
      </w:r>
      <w:r>
        <w:rPr>
          <w:rFonts w:ascii="Thorndale for VST" w:hAnsi="Thorndale for VST" w:cs="Thorndale for VST"/>
          <w:b/>
          <w:bCs/>
          <w:color w:val="0000FF"/>
          <w:sz w:val="24"/>
          <w:szCs w:val="24"/>
          <w:u w:val="single"/>
        </w:rPr>
        <w:t>booking</w:t>
      </w:r>
      <w:r>
        <w:rPr>
          <w:rFonts w:ascii="Thorndale for VST" w:hAnsi="Thorndale for VST" w:cs="Thorndale for VST"/>
          <w:sz w:val="24"/>
          <w:szCs w:val="24"/>
        </w:rPr>
        <w:t xml:space="preserve">. This process, administrative in nature, involves the entry into the police ledger of the charge, suspect’s name, and time of arrest. During this process, the jurisdictional agency may also obtain identification information, such as fingerprints and photographs. As expeditiously as possible thereafter, the defendant is brought before the judge for the first time. During this </w:t>
      </w:r>
      <w:r>
        <w:rPr>
          <w:rFonts w:ascii="Thorndale for VST" w:hAnsi="Thorndale for VST" w:cs="Thorndale for VST"/>
          <w:b/>
          <w:bCs/>
          <w:color w:val="0000FF"/>
          <w:sz w:val="24"/>
          <w:szCs w:val="24"/>
          <w:u w:val="single"/>
        </w:rPr>
        <w:t>arraignment</w:t>
      </w:r>
      <w:r>
        <w:rPr>
          <w:rFonts w:ascii="Thorndale for VST" w:hAnsi="Thorndale for VST" w:cs="Thorndale for VST"/>
          <w:sz w:val="24"/>
          <w:szCs w:val="24"/>
        </w:rPr>
        <w:t>, or initial appearance, the suspect is informed of the charges, bail is set, and the next court appearance is scheduled. Also, the judge ensures that the accused is aware of his or her right to an attorney, and, in the case of an indigent defendant, an appointment of counsel is made. When an arrest has been made without a warrant, the arraignment also serves as a probable cause hearing and must be held within 48 hours absent extraordinary circumstances.</w:t>
      </w:r>
      <w:r>
        <w:rPr>
          <w:rFonts w:ascii="Thorndale for VST" w:hAnsi="Thorndale for VST" w:cs="Thorndale for VST"/>
          <w:color w:val="0000FF"/>
          <w:sz w:val="24"/>
          <w:szCs w:val="24"/>
          <w:u w:val="single"/>
          <w:vertAlign w:val="superscript"/>
        </w:rPr>
        <w:t>5</w:t>
      </w:r>
      <w:r>
        <w:rPr>
          <w:rFonts w:ascii="Thorndale for VST" w:hAnsi="Thorndale for VST" w:cs="Thorndale for VST"/>
          <w:sz w:val="24"/>
          <w:szCs w:val="24"/>
        </w:rPr>
        <w:t xml:space="preserve"> Such probable cause determination is not necessary in cases in which a judicial official previously had signed an arrest warrant or whenever the defendant will not be held in custody.</w:t>
      </w:r>
    </w:p>
    <w:p w:rsidR="003D0DD9" w:rsidRDefault="003D0DD9" w:rsidP="003D0DD9">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Pleas and Plea Bargaining</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Defendants must enter a </w:t>
      </w:r>
      <w:r>
        <w:rPr>
          <w:rFonts w:ascii="Thorndale for VST" w:hAnsi="Thorndale for VST" w:cs="Thorndale for VST"/>
          <w:b/>
          <w:bCs/>
          <w:color w:val="0000FF"/>
          <w:sz w:val="24"/>
          <w:szCs w:val="24"/>
          <w:u w:val="single"/>
        </w:rPr>
        <w:t>plea</w:t>
      </w:r>
      <w:r>
        <w:rPr>
          <w:rFonts w:ascii="Thorndale for VST" w:hAnsi="Thorndale for VST" w:cs="Thorndale for VST"/>
          <w:sz w:val="24"/>
          <w:szCs w:val="24"/>
        </w:rPr>
        <w:t xml:space="preserve"> during the arraignment. The range of pleas includes guilty, not guilty, not guilty by reason of affirmative defense, or nolo contendere (no contest). Individuals who plead guilty fully admit their culpability. Such a plea is made in open court and must be accompanied by a showing that such a plea is entered knowingly, intelligently, and voluntarily since “a plea of guilty is more than a confession which admits that the accused did various acts; it is itself a conviction.”</w:t>
      </w:r>
      <w:r>
        <w:rPr>
          <w:rFonts w:ascii="Thorndale for VST" w:hAnsi="Thorndale for VST" w:cs="Thorndale for VST"/>
          <w:color w:val="0000FF"/>
          <w:sz w:val="24"/>
          <w:szCs w:val="24"/>
          <w:u w:val="single"/>
          <w:vertAlign w:val="superscript"/>
        </w:rPr>
        <w:t>6</w:t>
      </w:r>
      <w:r>
        <w:rPr>
          <w:rFonts w:ascii="Thorndale for VST" w:hAnsi="Thorndale for VST" w:cs="Thorndale for VST"/>
          <w:sz w:val="24"/>
          <w:szCs w:val="24"/>
        </w:rPr>
        <w:t xml:space="preserve"> Thus, certain rights are waived upon the introduction of a guilty plea, including Fifth Amendment protection against self-incrimination, the Sixth Amendment right to trial by jury, and the Sixth Amendment right to confront one’s accusers. Because of the gravity of a guilty plea, it traditionally has required an admission by the defendant of the particular act. However, in establishing the </w:t>
      </w:r>
      <w:r>
        <w:rPr>
          <w:rFonts w:ascii="Thorndale for VST" w:hAnsi="Thorndale for VST" w:cs="Thorndale for VST"/>
          <w:b/>
          <w:bCs/>
          <w:color w:val="0000FF"/>
          <w:sz w:val="24"/>
          <w:szCs w:val="24"/>
          <w:u w:val="single"/>
        </w:rPr>
        <w:t>Alford plea</w:t>
      </w:r>
      <w:r>
        <w:rPr>
          <w:rFonts w:ascii="Thorndale for VST" w:hAnsi="Thorndale for VST" w:cs="Thorndale for VST"/>
          <w:sz w:val="24"/>
          <w:szCs w:val="24"/>
        </w:rPr>
        <w:t>, the Court held that:</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while most pleas of guilty consist of both a waiver of trial and an express admission of guilt, the latter element is not a constitutional requisite to the imposition of criminal penalty. An individual accused of crime may voluntarily, knowingly, and understandingly consent to the imposition of a prison sentence even if he is unwilling or unable to admit his participation in the acts constituting the crime.</w:t>
      </w:r>
      <w:r>
        <w:rPr>
          <w:rFonts w:ascii="Thorndale for VST" w:hAnsi="Thorndale for VST" w:cs="Thorndale for VST"/>
          <w:color w:val="0000FF"/>
          <w:sz w:val="24"/>
          <w:szCs w:val="24"/>
          <w:u w:val="single"/>
          <w:vertAlign w:val="superscript"/>
        </w:rPr>
        <w:t>7</w:t>
      </w:r>
    </w:p>
    <w:p w:rsidR="003D0DD9" w:rsidRDefault="003D0DD9" w:rsidP="003D0DD9">
      <w:pPr>
        <w:autoSpaceDE w:val="0"/>
        <w:autoSpaceDN w:val="0"/>
        <w:adjustRightInd w:val="0"/>
        <w:spacing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Affirmative Defenses</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Throughout American history, individuals have attempted to justify the actions they commit in particular situations, especially those that are criminal in nature. An </w:t>
      </w:r>
      <w:r>
        <w:rPr>
          <w:rFonts w:ascii="Thorndale for VST" w:hAnsi="Thorndale for VST" w:cs="Thorndale for VST"/>
          <w:b/>
          <w:bCs/>
          <w:color w:val="0000FF"/>
          <w:sz w:val="24"/>
          <w:szCs w:val="24"/>
          <w:u w:val="single"/>
        </w:rPr>
        <w:t>affirmative defense</w:t>
      </w:r>
      <w:r>
        <w:rPr>
          <w:rFonts w:ascii="Thorndale for VST" w:hAnsi="Thorndale for VST" w:cs="Thorndale for VST"/>
          <w:sz w:val="24"/>
          <w:szCs w:val="24"/>
        </w:rPr>
        <w:t xml:space="preserve"> is a legal justification for an individual’s actions. Those asserting affirmative defense do not deny the action in question, just the culpability associated with it. Common affirmative defenses include, but are not limited to, insanity, entrapment, coercion or duress, necessity, and self-defense.</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Affirmative defense is an attractive alternative to individuals facing substantial incriminating evidence because it allows them to plead guilty without overtly admitting their guilt. However, it must be noted that a judge does not have to accept an Alford plea. In some states, conditional pleas are increasing in number. Because the Supreme Court has consistently ruled that a plea of guilty negates traditional constitutional guarantees before the plea, many defendants now choose to enter conditional pleas, allowing them to appeal a certain issue on the record.</w:t>
      </w:r>
      <w:r>
        <w:rPr>
          <w:rFonts w:ascii="Thorndale for VST" w:hAnsi="Thorndale for VST" w:cs="Thorndale for VST"/>
          <w:color w:val="0000FF"/>
          <w:sz w:val="24"/>
          <w:szCs w:val="24"/>
          <w:u w:val="single"/>
          <w:vertAlign w:val="superscript"/>
        </w:rPr>
        <w:t>8</w:t>
      </w:r>
      <w:r>
        <w:rPr>
          <w:rFonts w:ascii="Thorndale for VST" w:hAnsi="Thorndale for VST" w:cs="Thorndale for VST"/>
          <w:sz w:val="24"/>
          <w:szCs w:val="24"/>
        </w:rPr>
        <w:t xml:space="preserve"> The likelihood of a guilty plea varies by case characteristics, including, but not limited to, severity of the offense, weight of the evidence, likelihood of conviction, and length of sentence. Guilty pleas, for example, are most common in misdemeanor cases. In fact, some jurisdictions have actually streamlined the plea process for certain charges, such as DUI, to allow defendants to plead guilty to the charge with a standardized sentence.</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Another alterative for many defendants is to plead </w:t>
      </w:r>
      <w:r>
        <w:rPr>
          <w:rFonts w:ascii="Thorndale for VST" w:hAnsi="Thorndale for VST" w:cs="Thorndale for VST"/>
          <w:b/>
          <w:bCs/>
          <w:color w:val="0000FF"/>
          <w:sz w:val="24"/>
          <w:szCs w:val="24"/>
          <w:u w:val="single"/>
        </w:rPr>
        <w:t>nolo contendere</w:t>
      </w:r>
      <w:r>
        <w:rPr>
          <w:rFonts w:ascii="Thorndale for VST" w:hAnsi="Thorndale for VST" w:cs="Thorndale for VST"/>
          <w:sz w:val="24"/>
          <w:szCs w:val="24"/>
        </w:rPr>
        <w:t>, or “no contest.” Simply put, a plea of nolo contendere means that the defendant neither admits nor disputes the charge levied against him or her. The term literally translates from Latin as “I do not wish to argue.” The introduction of such a plea allows the court to find the individual guilty without the person admitting to the facts of the case. As with Alford pleas, courts are not legally bound to accept them. In addition, both pleas present philosophical conundrums. They provide ways for the wrongfully accused to assert his or her innocence (while acknowledging the likelihood of a conviction), but they also allow guilty defendants to avoid personal accountability.</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Perhaps the most common plea entered by individuals seeking trial is a plea of not guilty, in which the accused denies the performance or commission of the offense charged. A plea of not guilty by reason of affirmative defense, however, is decidedly different. Individuals pleading not guilty by reason of affirmative defense admit to the performance of the act, but deny the illegality of their own actions. For example, a defendant might make a plea admitting to his or her participation in the event in question, but denying personal culpability to avoid civil or criminal responsibility. This is accomplished by introducing mitigating or extenuating circumstances, such as insanity, self-defense, entrapment, or coercion or duress. Traditionally, the burden of proof for affirmative defenses has rested on the government—the State was required to disprove such a charge. Most states recognized the futility of such requirements and modified their statutes to shift the burden to the defendant. However, the federal government maintained that burden until the attempted assassination of Ronald Reagan in 1981.</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noProof/>
          <w:sz w:val="24"/>
          <w:szCs w:val="24"/>
        </w:rPr>
        <w:drawing>
          <wp:inline distT="0" distB="0" distL="0" distR="0">
            <wp:extent cx="5430520" cy="34664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30520" cy="3466465"/>
                    </a:xfrm>
                    <a:prstGeom prst="rect">
                      <a:avLst/>
                    </a:prstGeom>
                    <a:noFill/>
                    <a:ln>
                      <a:noFill/>
                    </a:ln>
                  </pic:spPr>
                </pic:pic>
              </a:graphicData>
            </a:graphic>
          </wp:inline>
        </w:drawing>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i/>
          <w:iCs/>
          <w:sz w:val="24"/>
          <w:szCs w:val="24"/>
        </w:rPr>
        <w:t>Andrea Yates (C) and her attorneys George Parnham (L) and Wendell Odom (R) react after the verdict in her murder retrial is read. Yates was found not guilty by reason of insanity for the 2001 drowning deaths of her five children. Yates will now be committed to a state mental hospital, with periodic hearings before a judge to determine whether she should be released. Yates’ 2002 conviction had been overturned on appeal due to erroneous testimony by forensic psychiatrist, Park Dietz</w:t>
      </w:r>
      <w:r>
        <w:rPr>
          <w:rFonts w:ascii="Thorndale for VST" w:hAnsi="Thorndale for VST" w:cs="Thorndale for VST"/>
          <w:sz w:val="24"/>
          <w:szCs w:val="24"/>
        </w:rPr>
        <w:t>.</w:t>
      </w:r>
    </w:p>
    <w:p w:rsidR="003D0DD9" w:rsidRDefault="003D0DD9" w:rsidP="003D0DD9">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Insanity.</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After John Hinckley Jr. was found not guilty by reason of insanity, most government judiciaries revamped insanity statutes. For example, the federal government increased the level of mental disease or defect necessary to successfully use the defense to “severe.” In addition, it squarely placed the burden of proof for an insanity claim on the defense.</w:t>
      </w:r>
    </w:p>
    <w:p w:rsidR="003D0DD9" w:rsidRDefault="003D0DD9" w:rsidP="003D0DD9">
      <w:pPr>
        <w:autoSpaceDE w:val="0"/>
        <w:autoSpaceDN w:val="0"/>
        <w:adjustRightInd w:val="0"/>
        <w:spacing w:after="0" w:line="240" w:lineRule="auto"/>
        <w:ind w:left="900"/>
        <w:rPr>
          <w:rFonts w:ascii="Andale Sans for VST" w:hAnsi="Andale Sans for VST" w:cs="Andale Sans for VST"/>
          <w:sz w:val="32"/>
          <w:szCs w:val="32"/>
        </w:rPr>
      </w:pPr>
      <w:r>
        <w:rPr>
          <w:rFonts w:ascii="Andale Sans for VST" w:hAnsi="Andale Sans for VST" w:cs="Andale Sans for VST"/>
          <w:b/>
          <w:bCs/>
          <w:sz w:val="32"/>
          <w:szCs w:val="32"/>
        </w:rPr>
        <w:t>U.S. Code: Title I8: Chapter 1, Part I, Section 17. Insanity Defense:</w:t>
      </w:r>
    </w:p>
    <w:p w:rsidR="003D0DD9" w:rsidRDefault="003D0DD9" w:rsidP="003D0DD9">
      <w:pPr>
        <w:autoSpaceDE w:val="0"/>
        <w:autoSpaceDN w:val="0"/>
        <w:adjustRightInd w:val="0"/>
        <w:spacing w:before="240" w:after="0" w:line="240" w:lineRule="auto"/>
        <w:ind w:left="1080"/>
        <w:rPr>
          <w:rFonts w:ascii="Thorndale for VST" w:hAnsi="Thorndale for VST" w:cs="Thorndale for VST"/>
          <w:sz w:val="24"/>
          <w:szCs w:val="24"/>
        </w:rPr>
      </w:pPr>
      <w:r>
        <w:rPr>
          <w:rFonts w:ascii="Thorndale for VST" w:hAnsi="Thorndale for VST" w:cs="Thorndale for VST"/>
          <w:sz w:val="24"/>
          <w:szCs w:val="24"/>
        </w:rPr>
        <w:t>a.</w:t>
      </w:r>
      <w:r>
        <w:rPr>
          <w:rFonts w:ascii="Thorndale for VST" w:hAnsi="Thorndale for VST" w:cs="Thorndale for VST"/>
          <w:sz w:val="24"/>
          <w:szCs w:val="24"/>
        </w:rPr>
        <w:tab/>
      </w:r>
      <w:r>
        <w:rPr>
          <w:rFonts w:ascii="Thorndale for VST" w:hAnsi="Thorndale for VST" w:cs="Thorndale for VST"/>
          <w:b/>
          <w:bCs/>
          <w:color w:val="0000FF"/>
          <w:sz w:val="24"/>
          <w:szCs w:val="24"/>
          <w:u w:val="single"/>
        </w:rPr>
        <w:t>Affirmative Defense</w:t>
      </w:r>
    </w:p>
    <w:p w:rsidR="003D0DD9" w:rsidRDefault="003D0DD9" w:rsidP="003D0DD9">
      <w:pPr>
        <w:autoSpaceDE w:val="0"/>
        <w:autoSpaceDN w:val="0"/>
        <w:adjustRightInd w:val="0"/>
        <w:spacing w:before="240" w:after="0" w:line="240" w:lineRule="auto"/>
        <w:ind w:left="1080"/>
        <w:rPr>
          <w:rFonts w:ascii="Thorndale for VST" w:hAnsi="Thorndale for VST" w:cs="Thorndale for VST"/>
          <w:sz w:val="24"/>
          <w:szCs w:val="24"/>
        </w:rPr>
      </w:pPr>
      <w:r>
        <w:rPr>
          <w:rFonts w:ascii="Thorndale for VST" w:hAnsi="Thorndale for VST" w:cs="Thorndale for VST"/>
          <w:sz w:val="24"/>
          <w:szCs w:val="24"/>
        </w:rPr>
        <w:t>It is an affirmative defense to a prosecution under any federal statute that, at the time of the commission of the acts constituting the offense, the defendant, as a result of a severe mental disease or defect, was unable to appreciate the nature and quality or the wrongfulness of his acts. Mental disease or defect does not otherwise constitute a defense.</w:t>
      </w:r>
    </w:p>
    <w:p w:rsidR="003D0DD9" w:rsidRDefault="003D0DD9" w:rsidP="003D0DD9">
      <w:pPr>
        <w:autoSpaceDE w:val="0"/>
        <w:autoSpaceDN w:val="0"/>
        <w:adjustRightInd w:val="0"/>
        <w:spacing w:before="240" w:after="0" w:line="240" w:lineRule="auto"/>
        <w:ind w:left="1080"/>
        <w:rPr>
          <w:rFonts w:ascii="Thorndale for VST" w:hAnsi="Thorndale for VST" w:cs="Thorndale for VST"/>
          <w:sz w:val="24"/>
          <w:szCs w:val="24"/>
        </w:rPr>
      </w:pPr>
      <w:r>
        <w:rPr>
          <w:rFonts w:ascii="Thorndale for VST" w:hAnsi="Thorndale for VST" w:cs="Thorndale for VST"/>
          <w:sz w:val="24"/>
          <w:szCs w:val="24"/>
        </w:rPr>
        <w:t>b.</w:t>
      </w:r>
      <w:r>
        <w:rPr>
          <w:rFonts w:ascii="Thorndale for VST" w:hAnsi="Thorndale for VST" w:cs="Thorndale for VST"/>
          <w:sz w:val="24"/>
          <w:szCs w:val="24"/>
        </w:rPr>
        <w:tab/>
      </w:r>
      <w:r>
        <w:rPr>
          <w:rFonts w:ascii="Thorndale for VST" w:hAnsi="Thorndale for VST" w:cs="Thorndale for VST"/>
          <w:b/>
          <w:bCs/>
          <w:color w:val="0000FF"/>
          <w:sz w:val="24"/>
          <w:szCs w:val="24"/>
          <w:u w:val="single"/>
        </w:rPr>
        <w:t>Burden of Proof</w:t>
      </w:r>
    </w:p>
    <w:p w:rsidR="003D0DD9" w:rsidRDefault="003D0DD9" w:rsidP="003D0DD9">
      <w:pPr>
        <w:autoSpaceDE w:val="0"/>
        <w:autoSpaceDN w:val="0"/>
        <w:adjustRightInd w:val="0"/>
        <w:spacing w:before="240" w:after="0" w:line="240" w:lineRule="auto"/>
        <w:ind w:left="1080"/>
        <w:rPr>
          <w:rFonts w:ascii="Thorndale for VST" w:hAnsi="Thorndale for VST" w:cs="Thorndale for VST"/>
          <w:sz w:val="24"/>
          <w:szCs w:val="24"/>
        </w:rPr>
      </w:pPr>
      <w:r>
        <w:rPr>
          <w:rFonts w:ascii="Thorndale for VST" w:hAnsi="Thorndale for VST" w:cs="Thorndale for VST"/>
          <w:sz w:val="24"/>
          <w:szCs w:val="24"/>
        </w:rPr>
        <w:t>The defendant has the burden of proving the defense of insanity by clear and convincing evidence.</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The insanity defense was recognized in the United States for the first time during the mid-nineteenth century soon after it was developed in England. The M’Naghten standard was soon the preeminent method for determinations of insanity. Known as the “right/wrong test,” the </w:t>
      </w:r>
      <w:r>
        <w:rPr>
          <w:rFonts w:ascii="Thorndale for VST" w:hAnsi="Thorndale for VST" w:cs="Thorndale for VST"/>
          <w:b/>
          <w:bCs/>
          <w:color w:val="0000FF"/>
          <w:sz w:val="24"/>
          <w:szCs w:val="24"/>
          <w:u w:val="single"/>
        </w:rPr>
        <w:t>M’Naghten standard</w:t>
      </w:r>
      <w:r>
        <w:rPr>
          <w:rFonts w:ascii="Thorndale for VST" w:hAnsi="Thorndale for VST" w:cs="Thorndale for VST"/>
          <w:sz w:val="24"/>
          <w:szCs w:val="24"/>
        </w:rPr>
        <w:t xml:space="preserve"> referred to individuals who did not know the nature of the act or that it was wrong. This proved to be quite beneficial to prosecutors who simply had to demonstrate that the person engaging in the behavior knew that the behavior was wrong. Thus, the irresistible impulse test was developed, which provided for the acquittal of individuals who simply could not control their behavior irrespective of recognition of rightness or wrongness. However, this test proved problematic because civilized society depends on the proper control of its members’ impulses, and the test offered no way to determine which impulses could or could not be resisted. Despite its imperfections, this standard had been adopted by nearly one-half of the United States by the dawn of the twentieth century.</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During the 1950s, an increase in the visibility of the field of psychology led to the use of psychological testimony in American courtrooms. As a result, the Durham Test emerged. This test evaluated whether a defendant had a mental disease or a defect and whether such a defect could result in the commission of a criminal act. It never gained popularity and was largely abandoned by the 1960s. Around the same time, another test emerged that would be broadly embraced across the United States. This test, known as the Model Penal Code Test, was the most comprehensive attempt to remedy concerns and criticisms levied against traditional tests. First, it lowered M’Naghten’s requirement from absolute knowledge of right and wrong to a substantial incapacity to appreciate the difference. In addition, it combined elements from the irresistible impulse test in which ability to control behavior was considered. By the 1980s, every federal court except the District of Columbia and First Circuits had adopted the Model Penal Code’s Substantial Capacity Test.</w:t>
      </w:r>
    </w:p>
    <w:p w:rsidR="003D0DD9" w:rsidRDefault="003D0DD9" w:rsidP="003D0DD9">
      <w:pPr>
        <w:autoSpaceDE w:val="0"/>
        <w:autoSpaceDN w:val="0"/>
        <w:adjustRightInd w:val="0"/>
        <w:spacing w:after="0" w:line="240" w:lineRule="auto"/>
        <w:ind w:left="900"/>
        <w:rPr>
          <w:rFonts w:ascii="Andale Sans for VST" w:hAnsi="Andale Sans for VST" w:cs="Andale Sans for VST"/>
          <w:sz w:val="32"/>
          <w:szCs w:val="32"/>
        </w:rPr>
      </w:pPr>
      <w:r>
        <w:rPr>
          <w:rFonts w:ascii="Andale Sans for VST" w:hAnsi="Andale Sans for VST" w:cs="Andale Sans for VST"/>
          <w:b/>
          <w:bCs/>
          <w:sz w:val="32"/>
          <w:szCs w:val="32"/>
        </w:rPr>
        <w:t>Insanity Defense Reform Act of 1984 (18 U.S.C. 17)</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After the furor following the John Hinckley Jr. trial, Congress made insanity an affirmative defense and changed the existing standard. This new “not guilty by reason of insanity” was the first of its kind on the federal level. Before passage of the act, the federal system had not provided this sort of affirmative defense. Thus, individuals successfully arguing insanity were simply found not guilty.</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 xml:space="preserve">The Insanity Defense Reform Act was more restrictive than traditional standards for insanity. Under 18 U.S.C. 17(a), individuals are only considered insane when they are unable to appreciate the nature and quality or wrongfulness of their acts. In addition, the act established a comprehensive civil commitment procedure, with the result that those found not guilty would still be remanded into the custody of mental health professionals. The court then has 40 days to hold a hearing to determine the person’s future (i.e., release or commitment). The Supreme Court upheld the constitutionality of the act in </w:t>
      </w:r>
      <w:r>
        <w:rPr>
          <w:rFonts w:ascii="Thorndale for VST" w:hAnsi="Thorndale for VST" w:cs="Thorndale for VST"/>
          <w:i/>
          <w:iCs/>
          <w:sz w:val="24"/>
          <w:szCs w:val="24"/>
        </w:rPr>
        <w:t>Shannon v. United States</w:t>
      </w:r>
      <w:r>
        <w:rPr>
          <w:rFonts w:ascii="Thorndale for VST" w:hAnsi="Thorndale for VST" w:cs="Thorndale for VST"/>
          <w:sz w:val="24"/>
          <w:szCs w:val="24"/>
        </w:rPr>
        <w:t xml:space="preserve"> (1994). The act also provides for the release of individuals who are deemed to no longer pose a risk to others.</w:t>
      </w:r>
    </w:p>
    <w:p w:rsidR="003D0DD9" w:rsidRDefault="003D0DD9" w:rsidP="003D0DD9">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Necessity.</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According to the Supreme Court, a necessity defense “traditionally covered the situation where physical forces beyond the actor’s control rendered illegal conduct the lesser of two evils.”</w:t>
      </w:r>
      <w:r>
        <w:rPr>
          <w:rFonts w:ascii="Thorndale for VST" w:hAnsi="Thorndale for VST" w:cs="Thorndale for VST"/>
          <w:color w:val="0000FF"/>
          <w:sz w:val="24"/>
          <w:szCs w:val="24"/>
          <w:u w:val="single"/>
          <w:vertAlign w:val="superscript"/>
        </w:rPr>
        <w:t>9</w:t>
      </w:r>
      <w:r>
        <w:rPr>
          <w:rFonts w:ascii="Thorndale for VST" w:hAnsi="Thorndale for VST" w:cs="Thorndale for VST"/>
          <w:sz w:val="24"/>
          <w:szCs w:val="24"/>
        </w:rPr>
        <w:t xml:space="preserve"> Recognition of this defense has not been as pronounced as in other areas such as self-defense and insanity. The first real example of its use involved the rather infamous case of </w:t>
      </w:r>
      <w:r>
        <w:rPr>
          <w:rFonts w:ascii="Thorndale for VST" w:hAnsi="Thorndale for VST" w:cs="Thorndale for VST"/>
          <w:i/>
          <w:iCs/>
          <w:sz w:val="24"/>
          <w:szCs w:val="24"/>
        </w:rPr>
        <w:t>Regina v. Dudley and Stevens</w:t>
      </w:r>
      <w:r>
        <w:rPr>
          <w:rFonts w:ascii="Thorndale for VST" w:hAnsi="Thorndale for VST" w:cs="Thorndale for VST"/>
          <w:sz w:val="24"/>
          <w:szCs w:val="24"/>
        </w:rPr>
        <w:t>.</w:t>
      </w:r>
      <w:r>
        <w:rPr>
          <w:rFonts w:ascii="Thorndale for VST" w:hAnsi="Thorndale for VST" w:cs="Thorndale for VST"/>
          <w:color w:val="0000FF"/>
          <w:sz w:val="24"/>
          <w:szCs w:val="24"/>
          <w:u w:val="single"/>
          <w:vertAlign w:val="superscript"/>
        </w:rPr>
        <w:t>10</w:t>
      </w:r>
      <w:r>
        <w:rPr>
          <w:rFonts w:ascii="Thorndale for VST" w:hAnsi="Thorndale for VST" w:cs="Thorndale for VST"/>
          <w:sz w:val="24"/>
          <w:szCs w:val="24"/>
        </w:rPr>
        <w:t xml:space="preserve"> In </w:t>
      </w:r>
      <w:r>
        <w:rPr>
          <w:rFonts w:ascii="Thorndale for VST" w:hAnsi="Thorndale for VST" w:cs="Thorndale for VST"/>
          <w:i/>
          <w:iCs/>
          <w:sz w:val="24"/>
          <w:szCs w:val="24"/>
        </w:rPr>
        <w:t>Dudley</w:t>
      </w:r>
      <w:r>
        <w:rPr>
          <w:rFonts w:ascii="Thorndale for VST" w:hAnsi="Thorndale for VST" w:cs="Thorndale for VST"/>
          <w:sz w:val="24"/>
          <w:szCs w:val="24"/>
        </w:rPr>
        <w:t>, the first mate and the captain of a capsized ship were charged with and convicted of the murder of their cabin boy after they killed him so they could eat him. During the trial, the pair argued that it was an act borne of necessity and that they committed to act to save their own lives. The high court initially convicted them and sentenced them to death. However, their sentence was quickly commuted to six months in prison. One conclusion, then, is that although necessity normally is not accepted as an affirmative defense in murder cases, it is often treated as a mitigating factor. In a nutshell, the affirmative defense of necessity may be characterized as a balancing act between society’s interests and one’s personal gain.</w:t>
      </w:r>
    </w:p>
    <w:p w:rsidR="003D0DD9" w:rsidRDefault="003D0DD9" w:rsidP="003D0DD9">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Duress.</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A third type of affirmative defense is </w:t>
      </w:r>
      <w:r>
        <w:rPr>
          <w:rFonts w:ascii="Thorndale for VST" w:hAnsi="Thorndale for VST" w:cs="Thorndale for VST"/>
          <w:i/>
          <w:iCs/>
          <w:sz w:val="24"/>
          <w:szCs w:val="24"/>
        </w:rPr>
        <w:t>duress</w:t>
      </w:r>
      <w:r>
        <w:rPr>
          <w:rFonts w:ascii="Thorndale for VST" w:hAnsi="Thorndale for VST" w:cs="Thorndale for VST"/>
          <w:sz w:val="24"/>
          <w:szCs w:val="24"/>
        </w:rPr>
        <w:t xml:space="preserve">. As its name implies, </w:t>
      </w:r>
      <w:r>
        <w:rPr>
          <w:rFonts w:ascii="Thorndale for VST" w:hAnsi="Thorndale for VST" w:cs="Thorndale for VST"/>
          <w:b/>
          <w:bCs/>
          <w:color w:val="0000FF"/>
          <w:sz w:val="24"/>
          <w:szCs w:val="24"/>
          <w:u w:val="single"/>
        </w:rPr>
        <w:t>duress</w:t>
      </w:r>
      <w:r>
        <w:rPr>
          <w:rFonts w:ascii="Thorndale for VST" w:hAnsi="Thorndale for VST" w:cs="Thorndale for VST"/>
          <w:sz w:val="24"/>
          <w:szCs w:val="24"/>
        </w:rPr>
        <w:t xml:space="preserve"> simply means that an individual has been forced to do something against his or her will. Evidence of duress, when presented in court, may serve to mitigate or entirely excuse an individual‘s actions. While courts tend to allow the defense of duress in many types of cases, some jurisdictions specifically preclude it in homicide cases. When Patty Hearst, heiress to the William Randolph Hearst publishing empire and member of the Symbionese Liberation Army (SLA), was arrested in 1975, she claimed to have been brainwashed and forced to engage in bank robberies and assorted other criminal activities out of fear. Although the jury found her guilty, her sentence was commuted by President Jimmy Carter and she served only 2 years of a 7-year sentence. Duress has been employed in numerous cases in which families, friends, or loved ones were threatened.</w:t>
      </w:r>
    </w:p>
    <w:p w:rsidR="003D0DD9" w:rsidRDefault="003D0DD9" w:rsidP="003D0DD9">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Self-Defense.</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Unlike the other affirmative defenses discussed earlier, valid claims of self-defense often are considered justifiable—with acquittal as a result. The requirements for successful claims of self-defense include: (1) an honest and reliable belief that the use of force; (2) is necessary to repel; (3) imminent and unlawful force; and, (4) the force exerted is not in excess of that which is necessary. In every case, such beliefs or perceptions are required to be </w:t>
      </w:r>
      <w:r>
        <w:rPr>
          <w:rFonts w:ascii="Thorndale for VST" w:hAnsi="Thorndale for VST" w:cs="Thorndale for VST"/>
          <w:i/>
          <w:iCs/>
          <w:sz w:val="24"/>
          <w:szCs w:val="24"/>
        </w:rPr>
        <w:t>reasonable</w:t>
      </w:r>
      <w:r>
        <w:rPr>
          <w:rFonts w:ascii="Thorndale for VST" w:hAnsi="Thorndale for VST" w:cs="Thorndale for VST"/>
          <w:sz w:val="24"/>
          <w:szCs w:val="24"/>
        </w:rPr>
        <w:t>, but they do not necessarily have to be right. To justify the use of deadly force in self-defense, defendants must prove that the force was necessary to protect life, to escape serious bodily harm or rape, and, in some states, to halt a robbery; and that the force used was proportionate to the initial force. In addition, the Supreme Court has consistently ruled that the threat precipitating the force must be immediate. For this reason, the Court consistently has rejected battered woman’s syndrome as an affirmative defense.</w:t>
      </w:r>
      <w:r>
        <w:rPr>
          <w:rFonts w:ascii="Thorndale for VST" w:hAnsi="Thorndale for VST" w:cs="Thorndale for VST"/>
          <w:color w:val="0000FF"/>
          <w:sz w:val="24"/>
          <w:szCs w:val="24"/>
          <w:u w:val="single"/>
          <w:vertAlign w:val="superscript"/>
        </w:rPr>
        <w:t>11</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Additionally, the Supreme Court has consistently ruled that individuals bear the responsibility or duty to retreat. Thus, only those individuals who can demonstrate the absence of such options can be successful in their petition.</w:t>
      </w:r>
      <w:r>
        <w:rPr>
          <w:rFonts w:ascii="Thorndale for VST" w:hAnsi="Thorndale for VST" w:cs="Thorndale for VST"/>
          <w:color w:val="0000FF"/>
          <w:sz w:val="24"/>
          <w:szCs w:val="24"/>
          <w:u w:val="single"/>
          <w:vertAlign w:val="superscript"/>
        </w:rPr>
        <w:t>12</w:t>
      </w:r>
      <w:r>
        <w:rPr>
          <w:rFonts w:ascii="Thorndale for VST" w:hAnsi="Thorndale for VST" w:cs="Thorndale for VST"/>
          <w:sz w:val="24"/>
          <w:szCs w:val="24"/>
        </w:rPr>
        <w:t xml:space="preserve"> And, finally, deadly force (or any force, for that matter) may be used only in cases in which the force used against the individual is </w:t>
      </w:r>
      <w:r>
        <w:rPr>
          <w:rFonts w:ascii="Thorndale for VST" w:hAnsi="Thorndale for VST" w:cs="Thorndale for VST"/>
          <w:i/>
          <w:iCs/>
          <w:sz w:val="24"/>
          <w:szCs w:val="24"/>
        </w:rPr>
        <w:t>unlawful</w:t>
      </w:r>
      <w:r>
        <w:rPr>
          <w:rFonts w:ascii="Thorndale for VST" w:hAnsi="Thorndale for VST" w:cs="Thorndale for VST"/>
          <w:sz w:val="24"/>
          <w:szCs w:val="24"/>
        </w:rPr>
        <w:t>. It may not be used, for example, against arresting officers. For this reason, the argument made by the surviving Branch Davidians—that they had the right to defend themselves—was not accepted by the Court.</w:t>
      </w:r>
    </w:p>
    <w:p w:rsidR="003D0DD9" w:rsidRDefault="003D0DD9" w:rsidP="003D0DD9">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Plea Bargaining.</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No clear estimate of the frequency or effectiveness of plea bargaining in criminal cases exists; rather, there are disparate findings in the numerous studies currently available. However, one common theme weaves through such studies: The likelihood of a plea is affected by various factors, including, but not limited to, jurisdiction, crime charged, corroborating evidence, number of defendants, victim characteristics, and nature of offense. </w:t>
      </w:r>
      <w:r>
        <w:rPr>
          <w:rFonts w:ascii="Thorndale for VST" w:hAnsi="Thorndale for VST" w:cs="Thorndale for VST"/>
          <w:b/>
          <w:bCs/>
          <w:color w:val="0000FF"/>
          <w:sz w:val="24"/>
          <w:szCs w:val="24"/>
          <w:u w:val="single"/>
        </w:rPr>
        <w:t>Plea bargaining</w:t>
      </w:r>
      <w:r>
        <w:rPr>
          <w:rFonts w:ascii="Thorndale for VST" w:hAnsi="Thorndale for VST" w:cs="Thorndale for VST"/>
          <w:sz w:val="24"/>
          <w:szCs w:val="24"/>
        </w:rPr>
        <w:t xml:space="preserve"> is a term used to describe the process through which an individual pleads guilty to a particular offense with some understanding of probable sentence. Numerous reasons are often present regarding why defendants enter into such plea agreements. First, plea bargaining is most likely to happen in instances in which the state’s case is particularly strong, in which there are multiple counts, in which charges may be reduced, in which punishment might be diminished, and in which prosecutors agree not to charge others. On April 10, 2003, for example, Vincent “the Chin” Gigante finally dropped the crazy act he had adopted decades ago and pleaded guilty to various counts of racketeering. As part of his plea agreement, the government promised not to pursue charges against his family who had been assisting him in the obstruction of justice for years (Grennan &amp; Britz, 2007).</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Plea bargaining can happen at any stage of the court process, but judges are not bound by law or procedure to accept any particular plea. Prosecutors often engage in plea bargaining when their cases are not particularly strong or their caseload is overwhelming. Plea bargaining is beneficial to them because it assures them of adjudication, it allows them to clear multiple cases simultaneously, and it all but eliminates appeals. In any event, all pleas must be voluntary and intelligent,</w:t>
      </w:r>
      <w:r>
        <w:rPr>
          <w:rFonts w:ascii="Thorndale for VST" w:hAnsi="Thorndale for VST" w:cs="Thorndale for VST"/>
          <w:color w:val="0000FF"/>
          <w:sz w:val="24"/>
          <w:szCs w:val="24"/>
          <w:u w:val="single"/>
          <w:vertAlign w:val="superscript"/>
        </w:rPr>
        <w:t>13</w:t>
      </w:r>
      <w:r>
        <w:rPr>
          <w:rFonts w:ascii="Thorndale for VST" w:hAnsi="Thorndale for VST" w:cs="Thorndale for VST"/>
          <w:sz w:val="24"/>
          <w:szCs w:val="24"/>
        </w:rPr>
        <w:t xml:space="preserve"> and may be considered intelligent only when the accused first receives real notice of the nature of the charges against him.</w:t>
      </w:r>
      <w:r>
        <w:rPr>
          <w:rFonts w:ascii="Thorndale for VST" w:hAnsi="Thorndale for VST" w:cs="Thorndale for VST"/>
          <w:color w:val="0000FF"/>
          <w:sz w:val="24"/>
          <w:szCs w:val="24"/>
          <w:u w:val="single"/>
          <w:vertAlign w:val="superscript"/>
        </w:rPr>
        <w:t>14</w:t>
      </w:r>
      <w:r>
        <w:rPr>
          <w:rFonts w:ascii="Thorndale for VST" w:hAnsi="Thorndale for VST" w:cs="Thorndale for VST"/>
          <w:sz w:val="24"/>
          <w:szCs w:val="24"/>
        </w:rPr>
        <w:t xml:space="preserve"> Some of the most notorious criminals in the United States have plea bargained, including Spiro Agnew, James Earl Ray, Jeffrey Dahmer, and Salvatore “Sammy the Bull” Gravano.</w:t>
      </w:r>
    </w:p>
    <w:p w:rsidR="003D0DD9" w:rsidRDefault="003D0DD9" w:rsidP="003D0DD9">
      <w:pPr>
        <w:autoSpaceDE w:val="0"/>
        <w:autoSpaceDN w:val="0"/>
        <w:adjustRightInd w:val="0"/>
        <w:spacing w:after="0" w:line="240" w:lineRule="auto"/>
        <w:ind w:left="900"/>
        <w:rPr>
          <w:rFonts w:ascii="Andale Sans for VST" w:hAnsi="Andale Sans for VST" w:cs="Andale Sans for VST"/>
          <w:sz w:val="32"/>
          <w:szCs w:val="32"/>
        </w:rPr>
      </w:pPr>
      <w:r>
        <w:rPr>
          <w:rFonts w:ascii="Andale Sans for VST" w:hAnsi="Andale Sans for VST" w:cs="Andale Sans for VST"/>
          <w:b/>
          <w:bCs/>
          <w:sz w:val="32"/>
          <w:szCs w:val="32"/>
        </w:rPr>
        <w:t>Federal Rules of Evidence. Rule 410. Inadmissibility of Pleas, Plea Discussions, and Related Statements.</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Except as otherwise provided in this rule, evidence of the following is not, in any civil or criminal proceeding, admissible against the defendant who made the plea or was a participant in the plea discussions:</w:t>
      </w:r>
    </w:p>
    <w:p w:rsidR="003D0DD9" w:rsidRDefault="003D0DD9" w:rsidP="003D0DD9">
      <w:pPr>
        <w:autoSpaceDE w:val="0"/>
        <w:autoSpaceDN w:val="0"/>
        <w:adjustRightInd w:val="0"/>
        <w:spacing w:before="240" w:after="0" w:line="240" w:lineRule="auto"/>
        <w:ind w:left="1080"/>
        <w:rPr>
          <w:rFonts w:ascii="Thorndale for VST" w:hAnsi="Thorndale for VST" w:cs="Thorndale for VST"/>
          <w:sz w:val="24"/>
          <w:szCs w:val="24"/>
        </w:rPr>
      </w:pPr>
      <w:r>
        <w:rPr>
          <w:rFonts w:ascii="Thorndale for VST" w:hAnsi="Thorndale for VST" w:cs="Thorndale for VST"/>
          <w:sz w:val="24"/>
          <w:szCs w:val="24"/>
        </w:rPr>
        <w:t>1.</w:t>
      </w:r>
      <w:r>
        <w:rPr>
          <w:rFonts w:ascii="Thorndale for VST" w:hAnsi="Thorndale for VST" w:cs="Thorndale for VST"/>
          <w:sz w:val="24"/>
          <w:szCs w:val="24"/>
        </w:rPr>
        <w:tab/>
        <w:t>a plea of guilty that was later withdrawn;</w:t>
      </w:r>
    </w:p>
    <w:p w:rsidR="003D0DD9" w:rsidRDefault="003D0DD9" w:rsidP="003D0DD9">
      <w:pPr>
        <w:autoSpaceDE w:val="0"/>
        <w:autoSpaceDN w:val="0"/>
        <w:adjustRightInd w:val="0"/>
        <w:spacing w:before="240" w:after="0" w:line="240" w:lineRule="auto"/>
        <w:ind w:left="1080"/>
        <w:rPr>
          <w:rFonts w:ascii="Thorndale for VST" w:hAnsi="Thorndale for VST" w:cs="Thorndale for VST"/>
          <w:sz w:val="24"/>
          <w:szCs w:val="24"/>
        </w:rPr>
      </w:pPr>
      <w:r>
        <w:rPr>
          <w:rFonts w:ascii="Thorndale for VST" w:hAnsi="Thorndale for VST" w:cs="Thorndale for VST"/>
          <w:sz w:val="24"/>
          <w:szCs w:val="24"/>
        </w:rPr>
        <w:t>2.</w:t>
      </w:r>
      <w:r>
        <w:rPr>
          <w:rFonts w:ascii="Thorndale for VST" w:hAnsi="Thorndale for VST" w:cs="Thorndale for VST"/>
          <w:sz w:val="24"/>
          <w:szCs w:val="24"/>
        </w:rPr>
        <w:tab/>
        <w:t>a plea of nolo contendere;</w:t>
      </w:r>
    </w:p>
    <w:p w:rsidR="003D0DD9" w:rsidRDefault="003D0DD9" w:rsidP="003D0DD9">
      <w:pPr>
        <w:autoSpaceDE w:val="0"/>
        <w:autoSpaceDN w:val="0"/>
        <w:adjustRightInd w:val="0"/>
        <w:spacing w:before="240" w:after="0" w:line="240" w:lineRule="auto"/>
        <w:ind w:left="1080"/>
        <w:rPr>
          <w:rFonts w:ascii="Thorndale for VST" w:hAnsi="Thorndale for VST" w:cs="Thorndale for VST"/>
          <w:sz w:val="24"/>
          <w:szCs w:val="24"/>
        </w:rPr>
      </w:pPr>
      <w:r>
        <w:rPr>
          <w:rFonts w:ascii="Thorndale for VST" w:hAnsi="Thorndale for VST" w:cs="Thorndale for VST"/>
          <w:sz w:val="24"/>
          <w:szCs w:val="24"/>
        </w:rPr>
        <w:t>3.</w:t>
      </w:r>
      <w:r>
        <w:rPr>
          <w:rFonts w:ascii="Thorndale for VST" w:hAnsi="Thorndale for VST" w:cs="Thorndale for VST"/>
          <w:sz w:val="24"/>
          <w:szCs w:val="24"/>
        </w:rPr>
        <w:tab/>
        <w:t>any statement made in the course of any proceedings under Rule 11 of the Federal Rules of Criminal Procedure or comparable state procedure regarding either of the foregoing pleas; or</w:t>
      </w:r>
    </w:p>
    <w:p w:rsidR="003D0DD9" w:rsidRDefault="003D0DD9" w:rsidP="003D0DD9">
      <w:pPr>
        <w:autoSpaceDE w:val="0"/>
        <w:autoSpaceDN w:val="0"/>
        <w:adjustRightInd w:val="0"/>
        <w:spacing w:before="240" w:after="0" w:line="240" w:lineRule="auto"/>
        <w:ind w:left="1080"/>
        <w:rPr>
          <w:rFonts w:ascii="Thorndale for VST" w:hAnsi="Thorndale for VST" w:cs="Thorndale for VST"/>
          <w:sz w:val="24"/>
          <w:szCs w:val="24"/>
        </w:rPr>
      </w:pPr>
      <w:r>
        <w:rPr>
          <w:rFonts w:ascii="Thorndale for VST" w:hAnsi="Thorndale for VST" w:cs="Thorndale for VST"/>
          <w:sz w:val="24"/>
          <w:szCs w:val="24"/>
        </w:rPr>
        <w:t>4.</w:t>
      </w:r>
      <w:r>
        <w:rPr>
          <w:rFonts w:ascii="Thorndale for VST" w:hAnsi="Thorndale for VST" w:cs="Thorndale for VST"/>
          <w:sz w:val="24"/>
          <w:szCs w:val="24"/>
        </w:rPr>
        <w:tab/>
        <w:t>any statement made in the course of plea discussions with an attorney for the prosecuting authority that do not result in a plea of guilty or which result in a plea of guilty later withdrawn.</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However, such a statement is admissible (i) in any proceeding wherein another statement made in the course of the same plea or plea discussions had been introduced and the statement ought in fairness be considered contemporaneously with it, or (ii) in a criminal proceeding for perjury or false statement was made by the defendant under oath, on the record and in the presence of counsel. (As amended December 12, 1975; July 31, 1979; effective December 1, 1980)</w:t>
      </w:r>
    </w:p>
    <w:p w:rsidR="003D0DD9" w:rsidRDefault="003D0DD9" w:rsidP="003D0DD9">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Motions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Like plea bargains, motions may be submitted by either party at any time during the criminal justice process after indictment. A </w:t>
      </w:r>
      <w:r>
        <w:rPr>
          <w:rFonts w:ascii="Thorndale for VST" w:hAnsi="Thorndale for VST" w:cs="Thorndale for VST"/>
          <w:b/>
          <w:bCs/>
          <w:color w:val="0000FF"/>
          <w:sz w:val="24"/>
          <w:szCs w:val="24"/>
          <w:u w:val="single"/>
        </w:rPr>
        <w:t>motion</w:t>
      </w:r>
      <w:r>
        <w:rPr>
          <w:rFonts w:ascii="Thorndale for VST" w:hAnsi="Thorndale for VST" w:cs="Thorndale for VST"/>
          <w:sz w:val="24"/>
          <w:szCs w:val="24"/>
        </w:rPr>
        <w:t xml:space="preserve"> is a formal request to the court to perform a certain action or make a ruling in a particular matter. Various motions are available to counsel. Too many exist for a complete accounting here, but they include: requests for physical or mental examinations, summary judgment, change of venue, and dismissal. However, some of the most common, and controversial, involve the suppression or discovery of evidence.</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noProof/>
          <w:sz w:val="24"/>
          <w:szCs w:val="24"/>
        </w:rPr>
        <w:drawing>
          <wp:inline distT="0" distB="0" distL="0" distR="0">
            <wp:extent cx="5430520" cy="39992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30520" cy="3999230"/>
                    </a:xfrm>
                    <a:prstGeom prst="rect">
                      <a:avLst/>
                    </a:prstGeom>
                    <a:noFill/>
                    <a:ln>
                      <a:noFill/>
                    </a:ln>
                  </pic:spPr>
                </pic:pic>
              </a:graphicData>
            </a:graphic>
          </wp:inline>
        </w:drawing>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i/>
          <w:iCs/>
          <w:sz w:val="24"/>
          <w:szCs w:val="24"/>
        </w:rPr>
        <w:t>Michael Peterson relaxes in court with his adopted daughters, Margaret and Martha Ratliff. During his trial for the bludgeoning death of his wife, it was revealed that the girls’ mother, Elizabeth Ratliff, had also died at the bottom of a staircase. While her death was initially ruled an accident, the prosecution alleged that Michael Peterson murdered her in the same manner as his wife</w:t>
      </w:r>
      <w:r>
        <w:rPr>
          <w:rFonts w:ascii="Thorndale for VST" w:hAnsi="Thorndale for VST" w:cs="Thorndale for VST"/>
          <w:sz w:val="24"/>
          <w:szCs w:val="24"/>
        </w:rPr>
        <w:t>.</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i/>
          <w:iCs/>
          <w:sz w:val="24"/>
          <w:szCs w:val="24"/>
        </w:rPr>
        <w:t>Motions to suppress</w:t>
      </w:r>
      <w:r>
        <w:rPr>
          <w:rFonts w:ascii="Thorndale for VST" w:hAnsi="Thorndale for VST" w:cs="Thorndale for VST"/>
          <w:sz w:val="24"/>
          <w:szCs w:val="24"/>
        </w:rPr>
        <w:t xml:space="preserve"> are requests by counsel to prevent the introduction of a specific piece of evidence. These motions often are grounded in the exclusionary rule and typically involve allegations of impropriety on the part of law enforcement. (The exclusionary rule will be discussed in detail in the next chapter). However, such motions are not limited to this application. Motions to suppress may be filed in cases in which a particular piece of evidence is considered unduly prejudicial. This is not uncommon in cases involving uncharged crimes. The 1963 North Carolina case of William Peterson is an example. Peterson, charged in the bludgeoning death of his wife, argued that his wife sustained her injuries by falling down the stairs. Unfortunately for him, he had made a similar claim in the death of the mother of two of his adopted children years earlier. Although he filed a motion to suppress testimony regarding the earlier incident, the judge permitted said evidence. Peterson was summarily convicted.</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Most states require that suppression hearings be held before the start of the trial whenever violation of a constitutional right is to be argued. Usually, suppression hearings are held after the preliminary hearing for two primary reasons: (1) Because not all preliminary hearings result in a trial, the state saves administrative costs when cases are not bound over for trial; (2) second, motions to suppress are often filed in response to information revealed during the preliminary hearing.</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i/>
          <w:iCs/>
          <w:sz w:val="24"/>
          <w:szCs w:val="24"/>
        </w:rPr>
        <w:t>Motions to discover</w:t>
      </w:r>
      <w:r>
        <w:rPr>
          <w:rFonts w:ascii="Thorndale for VST" w:hAnsi="Thorndale for VST" w:cs="Thorndale for VST"/>
          <w:sz w:val="24"/>
          <w:szCs w:val="24"/>
        </w:rPr>
        <w:t xml:space="preserve"> are common in criminal cases, although they are often pro forma—when both sides understand the obligation to disclose information. These motions become necessary: (1) when the rules are not clearly established; (2) when one side believes that the information is privileged; or (3) when attorneys have an antagonistic relationship. In the most general sense, </w:t>
      </w:r>
      <w:r>
        <w:rPr>
          <w:rFonts w:ascii="Thorndale for VST" w:hAnsi="Thorndale for VST" w:cs="Thorndale for VST"/>
          <w:b/>
          <w:bCs/>
          <w:color w:val="0000FF"/>
          <w:sz w:val="24"/>
          <w:szCs w:val="24"/>
          <w:u w:val="single"/>
        </w:rPr>
        <w:t>discovery</w:t>
      </w:r>
      <w:r>
        <w:rPr>
          <w:rFonts w:ascii="Thorndale for VST" w:hAnsi="Thorndale for VST" w:cs="Thorndale for VST"/>
          <w:sz w:val="24"/>
          <w:szCs w:val="24"/>
        </w:rPr>
        <w:t xml:space="preserve"> refers to the process by which information is exchanged between opposing parties. Traditionally, the duty of discovery rested solely on the side of the prosecution.</w:t>
      </w:r>
    </w:p>
    <w:p w:rsidR="003D0DD9" w:rsidRDefault="003D0DD9" w:rsidP="003D0DD9">
      <w:pPr>
        <w:autoSpaceDE w:val="0"/>
        <w:autoSpaceDN w:val="0"/>
        <w:adjustRightInd w:val="0"/>
        <w:spacing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Brady Material</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In most states, defendants are not entitled to all information secured by the prosecutors. However, </w:t>
      </w:r>
      <w:r>
        <w:rPr>
          <w:rFonts w:ascii="Thorndale for VST" w:hAnsi="Thorndale for VST" w:cs="Thorndale for VST"/>
          <w:i/>
          <w:iCs/>
          <w:sz w:val="24"/>
          <w:szCs w:val="24"/>
        </w:rPr>
        <w:t>Brady v. Maryland, (1963) 373 U.S. 83, 83 S. Ct. 1194</w:t>
      </w:r>
      <w:r>
        <w:rPr>
          <w:rFonts w:ascii="Thorndale for VST" w:hAnsi="Thorndale for VST" w:cs="Thorndale for VST"/>
          <w:sz w:val="24"/>
          <w:szCs w:val="24"/>
        </w:rPr>
        <w:t xml:space="preserve"> entitled defendants to any information that may tend to exonerate them. Indeed, the failure of the state to share such information is considered reversible error.</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The Federal Rules of Evidence and the Supreme Court require prosecuting attorneys to share evidence to be presented upon request by the defense. Such responsibility includes disclosure of evidence contained within the defendant’s case file and any information held in police files. It is important to note that prosecuting attorneys must share their information, including information and evidence favorable to the defendant regardless of the presence or absence of defense requests for such. To wit, “the suppression by the prosecution of evidence favorable to an accused upon request violates due process where the evidence is material either to guilt or to punishment, irrespective of the good faith or bad faith of the prosecution.”</w:t>
      </w:r>
      <w:r>
        <w:rPr>
          <w:rFonts w:ascii="Thorndale for VST" w:hAnsi="Thorndale for VST" w:cs="Thorndale for VST"/>
          <w:color w:val="0000FF"/>
          <w:sz w:val="24"/>
          <w:szCs w:val="24"/>
          <w:u w:val="single"/>
          <w:vertAlign w:val="superscript"/>
        </w:rPr>
        <w:t>15</w:t>
      </w:r>
      <w:r>
        <w:rPr>
          <w:rFonts w:ascii="Thorndale for VST" w:hAnsi="Thorndale for VST" w:cs="Thorndale for VST"/>
          <w:sz w:val="24"/>
          <w:szCs w:val="24"/>
        </w:rPr>
        <w:t xml:space="preserve"> However, the Court has not ruled that such prosecutorial responsibility does not extend to the introduction of exculpatory evidence during grand jury proceedings. In that,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 requiring the prosecutor to present exculpatory as well as inculpatory evidence would alter the grand jury’s historical role, transforming it from an accusatory body that sits to assess whether there is adequate basis for bringing a criminal charge into an adjudicatory body that sits to determine guilt or innocence. Because it has always been thought sufficient for the grand jury to hear only the prosecutor’s side, and, consequently that the suspect has no right to present, and the grand jury no obligation to consider, exculpatory evidence, it would be incompatible with the traditional system to impose upon the prosecutor a legal obligation to prevent such evidence.</w:t>
      </w:r>
      <w:r>
        <w:rPr>
          <w:rFonts w:ascii="Thorndale for VST" w:hAnsi="Thorndale for VST" w:cs="Thorndale for VST"/>
          <w:color w:val="0000FF"/>
          <w:sz w:val="24"/>
          <w:szCs w:val="24"/>
          <w:u w:val="single"/>
          <w:vertAlign w:val="superscript"/>
        </w:rPr>
        <w:t>16</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In addition, the Court has ruled that there is no fundamental right to production of written statements, memorandums, and personal recollections of opposing counsel. This mandate, known as the </w:t>
      </w:r>
      <w:r>
        <w:rPr>
          <w:rFonts w:ascii="Thorndale for VST" w:hAnsi="Thorndale for VST" w:cs="Thorndale for VST"/>
          <w:b/>
          <w:bCs/>
          <w:color w:val="0000FF"/>
          <w:sz w:val="24"/>
          <w:szCs w:val="24"/>
          <w:u w:val="single"/>
        </w:rPr>
        <w:t>work-product doctrine</w:t>
      </w:r>
      <w:r>
        <w:rPr>
          <w:rFonts w:ascii="Thorndale for VST" w:hAnsi="Thorndale for VST" w:cs="Thorndale for VST"/>
          <w:sz w:val="24"/>
          <w:szCs w:val="24"/>
        </w:rPr>
        <w:t xml:space="preserve">, was initially recognized by the Court in </w:t>
      </w:r>
      <w:r>
        <w:rPr>
          <w:rFonts w:ascii="Thorndale for VST" w:hAnsi="Thorndale for VST" w:cs="Thorndale for VST"/>
          <w:i/>
          <w:iCs/>
          <w:sz w:val="24"/>
          <w:szCs w:val="24"/>
        </w:rPr>
        <w:t>Hickman v. Taylor</w:t>
      </w:r>
      <w:r>
        <w:rPr>
          <w:rFonts w:ascii="Thorndale for VST" w:hAnsi="Thorndale for VST" w:cs="Thorndale for VST"/>
          <w:color w:val="0000FF"/>
          <w:sz w:val="24"/>
          <w:szCs w:val="24"/>
          <w:u w:val="single"/>
          <w:vertAlign w:val="superscript"/>
        </w:rPr>
        <w:t>17</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b/>
        <w:t>Historically, a lawyer is an officer of the court and is bound to work for the advancement of justice while faithfully protecting the rightful interests of his clients. In performing his various duties, however, it is essential that a lawyer work with a certain degree of privacy, free from unnecessary intrusion by opposing parties and their counsel [329 U.S. 495, 511]. Proper preparation of a client’s case demands that he assemble information, sift what he considers to be the relevant from the irrelevant facts, prepare his legal theories and plan his strategy without undue and needless interference. That is the historical and the necessary way in which lawyers act within the framework of our system of jurisprudence to promote justice and to protect their clients’ interests. This work is reflected, of course, in interviews, statements, memoranda, correspondence, briefs, mental impressions, personal beliefs, and countless other tangible and intangible ways—aptly though roughly termed by the Circuit Court of Appeals in this case (153 F.2d 212, 223) as the ‘Work product of the lawyer.’ Were such materials open to opposing counsel on mere demand, much of what is now put down in writing would remain unwritten. An attorney’s thoughts, heretofore inviolate, would not be his own. Inefficiency, unfairness and sharp practices would inevitably develop in the giving of legal advice and in the preparation of cases for trial. The effect on the legal profession would be demoralizing. And the interests of the clients and the cause of justice would be poorly served.</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Although many states have established parameters for the disclosure of evidence by the prosecutor, the Supreme Court has ruled that the name of an informant must be disclosed when the true identity of the person is necessary for the defendant’s case even if a risk exists of harm to the informant. As stated, the burden of disclosure traditionally rested on the shoulders of the prosecutor. However, the contemporary trend is toward a system of </w:t>
      </w:r>
      <w:r>
        <w:rPr>
          <w:rFonts w:ascii="Thorndale for VST" w:hAnsi="Thorndale for VST" w:cs="Thorndale for VST"/>
          <w:i/>
          <w:iCs/>
          <w:sz w:val="24"/>
          <w:szCs w:val="24"/>
        </w:rPr>
        <w:t>reciprocal discovery</w:t>
      </w:r>
      <w:r>
        <w:rPr>
          <w:rFonts w:ascii="Thorndale for VST" w:hAnsi="Thorndale for VST" w:cs="Thorndale for VST"/>
          <w:sz w:val="24"/>
          <w:szCs w:val="24"/>
        </w:rPr>
        <w:t>, in which both sides must share information. In some jurisdictions, for example, a defendant must disclose any alibi witness that they intend to call.</w:t>
      </w:r>
    </w:p>
    <w:p w:rsidR="003D0DD9" w:rsidRDefault="003D0DD9" w:rsidP="003D0DD9">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Preliminary Hearings and Grand Juries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In most states, a preliminary hearing is conducted soon after arraignment. In the most general sense, this hearing is often a mini-trial in which a judge determines whether sufficient evidence exists to proceed to trial. Such determination uses a probable cause standard, evaluating whether there is probable cause to believe that a crime has been committed and that the defendant committed the crime. Both sides have the right to present their cases during this phase, but many defense attorneys will simply cross-examine the witnesses and any evidence presented by the prosecutor. The rules of evidence are not as strict during this phase.</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Preliminary hearings are not held in all criminal cases. Some states conduct preliminary hearings only in felony cases, while others use a </w:t>
      </w:r>
      <w:r>
        <w:rPr>
          <w:rFonts w:ascii="Thorndale for VST" w:hAnsi="Thorndale for VST" w:cs="Thorndale for VST"/>
          <w:b/>
          <w:bCs/>
          <w:color w:val="0000FF"/>
          <w:sz w:val="24"/>
          <w:szCs w:val="24"/>
          <w:u w:val="single"/>
        </w:rPr>
        <w:t>grand jury</w:t>
      </w:r>
      <w:r>
        <w:rPr>
          <w:rFonts w:ascii="Thorndale for VST" w:hAnsi="Thorndale for VST" w:cs="Thorndale for VST"/>
          <w:sz w:val="24"/>
          <w:szCs w:val="24"/>
        </w:rPr>
        <w:t xml:space="preserve"> system. In such a system, a panel of citizens is selected to hear evidence of criminal allegations presented by the state to determine whether sufficient probable cause exists to return a </w:t>
      </w:r>
      <w:r>
        <w:rPr>
          <w:rFonts w:ascii="Thorndale for VST" w:hAnsi="Thorndale for VST" w:cs="Thorndale for VST"/>
          <w:b/>
          <w:bCs/>
          <w:color w:val="0000FF"/>
          <w:sz w:val="24"/>
          <w:szCs w:val="24"/>
          <w:u w:val="single"/>
        </w:rPr>
        <w:t>true bill</w:t>
      </w:r>
      <w:r>
        <w:rPr>
          <w:rFonts w:ascii="Thorndale for VST" w:hAnsi="Thorndale for VST" w:cs="Thorndale for VST"/>
          <w:sz w:val="24"/>
          <w:szCs w:val="24"/>
        </w:rPr>
        <w:t xml:space="preserve">, a finding of truth to the allegations. Upon such a finding, the grand jury then issues a formal charge against the defendant in the form of an </w:t>
      </w:r>
      <w:r>
        <w:rPr>
          <w:rFonts w:ascii="Thorndale for VST" w:hAnsi="Thorndale for VST" w:cs="Thorndale for VST"/>
          <w:b/>
          <w:bCs/>
          <w:color w:val="0000FF"/>
          <w:sz w:val="24"/>
          <w:szCs w:val="24"/>
          <w:u w:val="single"/>
        </w:rPr>
        <w:t>indictment</w:t>
      </w:r>
      <w:r>
        <w:rPr>
          <w:rFonts w:ascii="Thorndale for VST" w:hAnsi="Thorndale for VST" w:cs="Thorndale for VST"/>
          <w:sz w:val="24"/>
          <w:szCs w:val="24"/>
        </w:rPr>
        <w:t xml:space="preserve">. This is similar to the issuance of an </w:t>
      </w:r>
      <w:r>
        <w:rPr>
          <w:rFonts w:ascii="Thorndale for VST" w:hAnsi="Thorndale for VST" w:cs="Thorndale for VST"/>
          <w:i/>
          <w:iCs/>
          <w:sz w:val="24"/>
          <w:szCs w:val="24"/>
        </w:rPr>
        <w:t>information</w:t>
      </w:r>
      <w:r>
        <w:rPr>
          <w:rFonts w:ascii="Thorndale for VST" w:hAnsi="Thorndale for VST" w:cs="Thorndale for VST"/>
          <w:sz w:val="24"/>
          <w:szCs w:val="24"/>
        </w:rPr>
        <w:t xml:space="preserve"> immediately following a finding of probable cause in a preliminary hearing. (Grand juries may also issue </w:t>
      </w:r>
      <w:r>
        <w:rPr>
          <w:rFonts w:ascii="Thorndale for VST" w:hAnsi="Thorndale for VST" w:cs="Thorndale for VST"/>
          <w:i/>
          <w:iCs/>
          <w:sz w:val="24"/>
          <w:szCs w:val="24"/>
        </w:rPr>
        <w:t>presentments</w:t>
      </w:r>
      <w:r>
        <w:rPr>
          <w:rFonts w:ascii="Thorndale for VST" w:hAnsi="Thorndale for VST" w:cs="Thorndale for VST"/>
          <w:sz w:val="24"/>
          <w:szCs w:val="24"/>
        </w:rPr>
        <w:t>, in which they make criminal allegations on their own). In any of these cases, the case is bound over for trial.</w:t>
      </w:r>
    </w:p>
    <w:p w:rsidR="003D0DD9" w:rsidRDefault="003D0DD9" w:rsidP="003D0DD9">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Trials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Trials were first introduced in Western courts immediately following the Norman Conquest of 1066, when William the Conqueror introduced several forms: trial by battle, trial by ordeal, and trial by inquisition. The first, </w:t>
      </w:r>
      <w:r>
        <w:rPr>
          <w:rFonts w:ascii="Thorndale for VST" w:hAnsi="Thorndale for VST" w:cs="Thorndale for VST"/>
          <w:i/>
          <w:iCs/>
          <w:sz w:val="24"/>
          <w:szCs w:val="24"/>
        </w:rPr>
        <w:t>trial by battle</w:t>
      </w:r>
      <w:r>
        <w:rPr>
          <w:rFonts w:ascii="Thorndale for VST" w:hAnsi="Thorndale for VST" w:cs="Thorndale for VST"/>
          <w:sz w:val="24"/>
          <w:szCs w:val="24"/>
        </w:rPr>
        <w:t xml:space="preserve">, was originally available to parties in private accusation of a felony and in land disputes. Private accusation cases occurred when a private party levied an accusation against another party for a crime committed against him or his family. Such procedures, supervised by a judge, were not available in cases in which the accused party was a woman, an aged person, or anyone with an infirmity. Contested land disputes, quite common when no formal recording of deeds or titles was available, were adjudicated through the battle of hired champions. Generally speaking, only nobles could avail themselves of this avenue. In criminal cases, commoners were forced to endure </w:t>
      </w:r>
      <w:r>
        <w:rPr>
          <w:rFonts w:ascii="Thorndale for VST" w:hAnsi="Thorndale for VST" w:cs="Thorndale for VST"/>
          <w:i/>
          <w:iCs/>
          <w:sz w:val="24"/>
          <w:szCs w:val="24"/>
        </w:rPr>
        <w:t>trial by ordeal</w:t>
      </w:r>
      <w:r>
        <w:rPr>
          <w:rFonts w:ascii="Thorndale for VST" w:hAnsi="Thorndale for VST" w:cs="Thorndale for VST"/>
          <w:sz w:val="24"/>
          <w:szCs w:val="24"/>
        </w:rPr>
        <w:t>.</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i/>
          <w:iCs/>
          <w:sz w:val="24"/>
          <w:szCs w:val="24"/>
        </w:rPr>
        <w:t>Trial by ordeal</w:t>
      </w:r>
      <w:r>
        <w:rPr>
          <w:rFonts w:ascii="Thorndale for VST" w:hAnsi="Thorndale for VST" w:cs="Thorndale for VST"/>
          <w:sz w:val="24"/>
          <w:szCs w:val="24"/>
        </w:rPr>
        <w:t xml:space="preserve"> originated as early as the sixth century and spread in pace with Christianity across Europe. Trial by ordeal became popular after the Norman Conquest and was based on the notion that God, as the arbiter of justice, punishes the guilty and shields the innocent. In theory, the ordeal was not intended to produce the death of innocent and guilty parties alike; rather, it was designed to ascertain the truth by way of God personally revealing the party’s guilt or innocence. In reality, however, all individuals were subject to torture. Common trials often included the handling of hot iron, the immersion of limbs in boiling water or fire, and the act of drowning. The ordeal reserved for those charged with more serious crimes was the </w:t>
      </w:r>
      <w:r>
        <w:rPr>
          <w:rFonts w:ascii="Thorndale for VST" w:hAnsi="Thorndale for VST" w:cs="Thorndale for VST"/>
          <w:i/>
          <w:iCs/>
          <w:sz w:val="24"/>
          <w:szCs w:val="24"/>
        </w:rPr>
        <w:t>Ordeal of Water</w:t>
      </w:r>
      <w:r>
        <w:rPr>
          <w:rFonts w:ascii="Thorndale for VST" w:hAnsi="Thorndale for VST" w:cs="Thorndale for VST"/>
          <w:sz w:val="24"/>
          <w:szCs w:val="24"/>
        </w:rPr>
        <w:t>, in which individuals were bound and cast into a body of water. If the persons floated, they were guilty; if they sank, they were innocent. Unfortunately, the outcome of such ordeals was necessarily death—those who floated were dispatched by other means; those who sank, drowned.</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Criticisms of such practices existed throughout the tenure of the trial by ordeal, but not for reasons one might expect. The criticisms levied at the practice concerned the interpretation of the voice of God. Critics argued that the ordeals did not necessarily indicate a person’s guilt or innocence of a particular crime, but rather his or her disfavor in the eyes of God. For example, God may wish to punish a person for something extraneous to the matter at hand. Although the Church spoke against such practices as early as the ninth century, political pressures largely kept them silent. In the late eleventh century, Pope Gregory VII initiated the concept of papal supremacy—a notion that eventually would lead to greater authority and autonomy for the Roman Church. In the early thirteenth century, the Church formally banned the participation of priests in such ordeals, but the practice continued for many years afterward (Kempin, </w:t>
      </w:r>
      <w:r>
        <w:rPr>
          <w:rFonts w:ascii="Thorndale for VST" w:hAnsi="Thorndale for VST" w:cs="Thorndale for VST"/>
          <w:color w:val="0000FF"/>
          <w:sz w:val="24"/>
          <w:szCs w:val="24"/>
          <w:u w:val="single"/>
        </w:rPr>
        <w:t>1990</w:t>
      </w:r>
      <w:r>
        <w:rPr>
          <w:rFonts w:ascii="Thorndale for VST" w:hAnsi="Thorndale for VST" w:cs="Thorndale for VST"/>
          <w:sz w:val="24"/>
          <w:szCs w:val="24"/>
        </w:rPr>
        <w:t>).</w:t>
      </w:r>
    </w:p>
    <w:p w:rsidR="003D0DD9" w:rsidRDefault="003D0DD9" w:rsidP="003D0DD9">
      <w:pPr>
        <w:autoSpaceDE w:val="0"/>
        <w:autoSpaceDN w:val="0"/>
        <w:adjustRightInd w:val="0"/>
        <w:spacing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Wager of Law, Compurgation, or Canonical Purgation</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A </w:t>
      </w:r>
      <w:r>
        <w:rPr>
          <w:rFonts w:ascii="Thorndale for VST" w:hAnsi="Thorndale for VST" w:cs="Thorndale for VST"/>
          <w:i/>
          <w:iCs/>
          <w:sz w:val="24"/>
          <w:szCs w:val="24"/>
        </w:rPr>
        <w:t>wager of law</w:t>
      </w:r>
      <w:r>
        <w:rPr>
          <w:rFonts w:ascii="Thorndale for VST" w:hAnsi="Thorndale for VST" w:cs="Thorndale for VST"/>
          <w:sz w:val="24"/>
          <w:szCs w:val="24"/>
        </w:rPr>
        <w:t>, which was another early attempt at fact-finding, required the accused to produce “oath-helpers.” These were individuals who would swear that the defendant was oath-worthy. Oath-helpers were not required to have knowledge of the particulars of the event in question and actually were discouraged from obtaining any. Quite simply, their role was to testify as to the trustworthiness of the defendant. This system was based on the concept that individuals would not imperil their soul to swear falsely for their neighbor.</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However, this system was heavily reliant upon sanctions of excommunication and would not have been possible in societies lacking such provisions. Excommunication resulting from either spiritual or social reasons was a real threat in small communities. However, population explosions and the onslaught of capitalism made this system of fact-finding obsolete. Indeed, this system was not as binding as those that evolved after its abolition. The Assize of Clarendon (1166) allowed for the banishment of individuals who had been cleared of any criminal offense by a wager of law but were considered of bad repute (Kempin, </w:t>
      </w:r>
      <w:r>
        <w:rPr>
          <w:rFonts w:ascii="Thorndale for VST" w:hAnsi="Thorndale for VST" w:cs="Thorndale for VST"/>
          <w:color w:val="0000FF"/>
          <w:sz w:val="24"/>
          <w:szCs w:val="24"/>
          <w:u w:val="single"/>
        </w:rPr>
        <w:t>1990</w:t>
      </w:r>
      <w:r>
        <w:rPr>
          <w:rFonts w:ascii="Thorndale for VST" w:hAnsi="Thorndale for VST" w:cs="Thorndale for VST"/>
          <w:sz w:val="24"/>
          <w:szCs w:val="24"/>
        </w:rPr>
        <w:t>). The wager of law was formally abolished in England in 1833.</w:t>
      </w:r>
    </w:p>
    <w:p w:rsidR="003D0DD9" w:rsidRDefault="003D0DD9" w:rsidP="003D0DD9">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The Jury System.</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Fact-finding panels have existed throughout written history. Charlemagne, for example, used inquests to determine the nature and extent of royal rights (Kempin, </w:t>
      </w:r>
      <w:r>
        <w:rPr>
          <w:rFonts w:ascii="Thorndale for VST" w:hAnsi="Thorndale for VST" w:cs="Thorndale for VST"/>
          <w:color w:val="0000FF"/>
          <w:sz w:val="24"/>
          <w:szCs w:val="24"/>
          <w:u w:val="single"/>
        </w:rPr>
        <w:t>1990</w:t>
      </w:r>
      <w:r>
        <w:rPr>
          <w:rFonts w:ascii="Thorndale for VST" w:hAnsi="Thorndale for VST" w:cs="Thorndale for VST"/>
          <w:sz w:val="24"/>
          <w:szCs w:val="24"/>
        </w:rPr>
        <w:t xml:space="preserve">). By calling together a panel of his subjects and demanding their cooperation, Charlemagne also introduced the concept of </w:t>
      </w:r>
      <w:r>
        <w:rPr>
          <w:rFonts w:ascii="Thorndale for VST" w:hAnsi="Thorndale for VST" w:cs="Thorndale for VST"/>
          <w:i/>
          <w:iCs/>
          <w:sz w:val="24"/>
          <w:szCs w:val="24"/>
        </w:rPr>
        <w:t>compulsory testimony;</w:t>
      </w:r>
      <w:r>
        <w:rPr>
          <w:rFonts w:ascii="Thorndale for VST" w:hAnsi="Thorndale for VST" w:cs="Thorndale for VST"/>
          <w:sz w:val="24"/>
          <w:szCs w:val="24"/>
        </w:rPr>
        <w:t xml:space="preserve"> a concept that exists even today. After trial by ordeal was abandoned, simplistic juries were convened to determine guilt or innocence. In essence, juries evolved out of trials by ordeal, as societies were hesitant to replace the voice of God by that of a lone authority. However, individuals could not be legally compelled to submit to the authority of juries until the Statute of Westminster I (1275).</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The Statute of Westminster I formally provided for the compulsion of testimony and participation of the accused and allowed for the imprisonment, torture, or both of individuals who refused to cooperate. Initially, the statute intended to increase the level of cooperation by the accused. However, many individuals chose to die from torture rather than by government-sanctioned execution and they did this for a variety of reasons. Most importantly, the nature of the presenting jury selected and the inclusion of witnesses to the event in question, even the accuser, heightened the likelihood of conviction and the outcome was somewhat predetermined. Coupled with the provision of asset forfeiture of convicted felons, many individuals chose to die horrifically, while still innocent in the eyes of the law. The separation of the </w:t>
      </w:r>
      <w:r>
        <w:rPr>
          <w:rFonts w:ascii="Thorndale for VST" w:hAnsi="Thorndale for VST" w:cs="Thorndale for VST"/>
          <w:i/>
          <w:iCs/>
          <w:sz w:val="24"/>
          <w:szCs w:val="24"/>
        </w:rPr>
        <w:t>presenting</w:t>
      </w:r>
      <w:r>
        <w:rPr>
          <w:rFonts w:ascii="Thorndale for VST" w:hAnsi="Thorndale for VST" w:cs="Thorndale for VST"/>
          <w:sz w:val="24"/>
          <w:szCs w:val="24"/>
        </w:rPr>
        <w:t xml:space="preserve"> jury and the </w:t>
      </w:r>
      <w:r>
        <w:rPr>
          <w:rFonts w:ascii="Thorndale for VST" w:hAnsi="Thorndale for VST" w:cs="Thorndale for VST"/>
          <w:i/>
          <w:iCs/>
          <w:sz w:val="24"/>
          <w:szCs w:val="24"/>
        </w:rPr>
        <w:t>trial</w:t>
      </w:r>
      <w:r>
        <w:rPr>
          <w:rFonts w:ascii="Thorndale for VST" w:hAnsi="Thorndale for VST" w:cs="Thorndale for VST"/>
          <w:sz w:val="24"/>
          <w:szCs w:val="24"/>
        </w:rPr>
        <w:t xml:space="preserve"> jury in the twelfth century changed such practices and resulted in the first glimpse of contemporary juries.</w:t>
      </w:r>
      <w:r>
        <w:rPr>
          <w:rFonts w:ascii="Thorndale for VST" w:hAnsi="Thorndale for VST" w:cs="Thorndale for VST"/>
          <w:color w:val="0000FF"/>
          <w:sz w:val="24"/>
          <w:szCs w:val="24"/>
          <w:u w:val="single"/>
          <w:vertAlign w:val="superscript"/>
        </w:rPr>
        <w:t>18</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The Sixth Amendment to the U.S. Constitution provides that all criminal defendants in the United States shall have the right to a “… speedy and public trial, by an impartial jury….” Such a jury is known as a </w:t>
      </w:r>
      <w:r>
        <w:rPr>
          <w:rFonts w:ascii="Thorndale for VST" w:hAnsi="Thorndale for VST" w:cs="Thorndale for VST"/>
          <w:b/>
          <w:bCs/>
          <w:color w:val="0000FF"/>
          <w:sz w:val="24"/>
          <w:szCs w:val="24"/>
          <w:u w:val="single"/>
        </w:rPr>
        <w:t>petit jury</w:t>
      </w:r>
      <w:r>
        <w:rPr>
          <w:rFonts w:ascii="Thorndale for VST" w:hAnsi="Thorndale for VST" w:cs="Thorndale for VST"/>
          <w:sz w:val="24"/>
          <w:szCs w:val="24"/>
        </w:rPr>
        <w:t>, and it may be used in criminal and civil cases. In criminal cases, the petit jury is the body that determines guilt. Although not common in criminal cases, such right may be waived. In civil cases, the petit jury helps determine fiduciary responsibility. The civil jury, nearly abolished in England and other areas, remains a force in American jurisprudence. Some argue that civil juries tend to display favoritism toward plaintiffs. Unlike grand juries that may convene in private and are largely accusatory in nature, the petit jury is a public institution that determines guilt after a full and impartial view of the evidence.</w:t>
      </w:r>
    </w:p>
    <w:p w:rsidR="003D0DD9" w:rsidRDefault="003D0DD9" w:rsidP="003D0DD9">
      <w:pPr>
        <w:autoSpaceDE w:val="0"/>
        <w:autoSpaceDN w:val="0"/>
        <w:adjustRightInd w:val="0"/>
        <w:spacing w:after="0" w:line="240" w:lineRule="auto"/>
        <w:ind w:left="900"/>
        <w:rPr>
          <w:rFonts w:ascii="Andale Sans for VST" w:hAnsi="Andale Sans for VST" w:cs="Andale Sans for VST"/>
          <w:sz w:val="32"/>
          <w:szCs w:val="32"/>
        </w:rPr>
      </w:pPr>
      <w:r>
        <w:rPr>
          <w:rFonts w:ascii="Andale Sans for VST" w:hAnsi="Andale Sans for VST" w:cs="Andale Sans for VST"/>
          <w:b/>
          <w:bCs/>
          <w:sz w:val="32"/>
          <w:szCs w:val="32"/>
        </w:rPr>
        <w:t>The Trial of William Penn</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In 1670, William Penn was formally charged in London for preaching to an unlawful assembly. By all accounts, such charges were levied at Penn because he failed to practice the same faith as the King of England. Tried by a jury, Penn was found not guilty. However, as a punishment to the jury, they were subsequently sequestered and deprived of food, water, and the basic necessities of life. Although they never reversed their earlier finding, they were only released after fines had been imposed on them individually. Eventually, the appellate court ruled that the jury and Penn had been incarcerated unjustly and, most importantly, that juries could not be punished for failing to render a verdict desirable to the court.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A jury may be characterized as a trier of fact. Before the mid-nineteenth century, American juries were responsible for both fact-finding and for the application of law (early American jurists were laypersons). As a matter of fact, formal legal education in the United States did not begin until the late eighteenth century. Thus, only the privileged few who had been fortunate enough to attend the English Inns of Court had specialized knowledge. Consequently, the notion abounded during colonial times that jurors could set aside or otherwise disregard a judge’s direction. During this period, </w:t>
      </w:r>
      <w:r>
        <w:rPr>
          <w:rFonts w:ascii="Thorndale for VST" w:hAnsi="Thorndale for VST" w:cs="Thorndale for VST"/>
          <w:i/>
          <w:iCs/>
          <w:sz w:val="24"/>
          <w:szCs w:val="24"/>
        </w:rPr>
        <w:t>directed verdicts</w:t>
      </w:r>
      <w:r>
        <w:rPr>
          <w:rFonts w:ascii="Thorndale for VST" w:hAnsi="Thorndale for VST" w:cs="Thorndale for VST"/>
          <w:sz w:val="24"/>
          <w:szCs w:val="24"/>
        </w:rPr>
        <w:t xml:space="preserve"> were common. Today, juries are simply tasked with evaluating the believability of evidence, applying the law that the judge has provided, and determining whether the prosecution has met its burden of proof.</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Although most contemporary juries consist of twelve jurors, the Supreme Court has ruled that six is sufficient.</w:t>
      </w:r>
      <w:r>
        <w:rPr>
          <w:rFonts w:ascii="Thorndale for VST" w:hAnsi="Thorndale for VST" w:cs="Thorndale for VST"/>
          <w:color w:val="0000FF"/>
          <w:sz w:val="24"/>
          <w:szCs w:val="24"/>
          <w:u w:val="single"/>
          <w:vertAlign w:val="superscript"/>
        </w:rPr>
        <w:t>19</w:t>
      </w:r>
      <w:r>
        <w:rPr>
          <w:rFonts w:ascii="Thorndale for VST" w:hAnsi="Thorndale for VST" w:cs="Thorndale for VST"/>
          <w:sz w:val="24"/>
          <w:szCs w:val="24"/>
        </w:rPr>
        <w:t xml:space="preserve"> Jury selection is initiated by the composition of a Master List, which includes registered voters within a jurisdiction. Individuals may be excused legally before the trial begins for various reasons, including but not limited to, disability, loss of wages, and military service. However, individuals who are not excused in this manner are subjected to qualification by the state and the defense. This process, known as </w:t>
      </w:r>
      <w:r>
        <w:rPr>
          <w:rFonts w:ascii="Thorndale for VST" w:hAnsi="Thorndale for VST" w:cs="Thorndale for VST"/>
          <w:b/>
          <w:bCs/>
          <w:color w:val="0000FF"/>
          <w:sz w:val="24"/>
          <w:szCs w:val="24"/>
          <w:u w:val="single"/>
        </w:rPr>
        <w:t>voir dire</w:t>
      </w:r>
      <w:r>
        <w:rPr>
          <w:rFonts w:ascii="Thorndale for VST" w:hAnsi="Thorndale for VST" w:cs="Thorndale for VST"/>
          <w:sz w:val="24"/>
          <w:szCs w:val="24"/>
        </w:rPr>
        <w:t xml:space="preserve">, involves the questioning of potential jurors and assurance of legal standards. For example, potential jurors must be at least 18 years of age, must be jurisdictional residents, etc. In federal court (and in some states), the judge conducts this qualifying and questioning. Most often, this process consists primarily of questioning by counsel, and jurors may be excused from participation for a variety of reasons during this period. Both sides are granted an unlimited number of </w:t>
      </w:r>
      <w:r>
        <w:rPr>
          <w:rFonts w:ascii="Thorndale for VST" w:hAnsi="Thorndale for VST" w:cs="Thorndale for VST"/>
          <w:i/>
          <w:iCs/>
          <w:sz w:val="24"/>
          <w:szCs w:val="24"/>
        </w:rPr>
        <w:t>challenges for cause</w:t>
      </w:r>
      <w:r>
        <w:rPr>
          <w:rFonts w:ascii="Thorndale for VST" w:hAnsi="Thorndale for VST" w:cs="Thorndale for VST"/>
          <w:sz w:val="24"/>
          <w:szCs w:val="24"/>
        </w:rPr>
        <w:t xml:space="preserve">. Such challenges include any reasonable demonstration of bias, and both sides can excuse potential jurors because of this. For example, a defense attorney might excuse a member of the Ku Klux Klan for cause if the accused is African American. Challenges also may be used when it is demonstrated that a potential juror has a preconceived perception of guilt. Such challenges are limitless because the Sixth Amendment guarantees the right to an impartial jury for all. Conversely, whenever the rationale for excusal is not articulated, counsel must use a </w:t>
      </w:r>
      <w:r>
        <w:rPr>
          <w:rFonts w:ascii="Thorndale for VST" w:hAnsi="Thorndale for VST" w:cs="Thorndale for VST"/>
          <w:i/>
          <w:iCs/>
          <w:sz w:val="24"/>
          <w:szCs w:val="24"/>
        </w:rPr>
        <w:t>peremptory challenge</w:t>
      </w:r>
      <w:r>
        <w:rPr>
          <w:rFonts w:ascii="Thorndale for VST" w:hAnsi="Thorndale for VST" w:cs="Thorndale for VST"/>
          <w:sz w:val="24"/>
          <w:szCs w:val="24"/>
        </w:rPr>
        <w:t>. Although the exact number of peremptory challenges varies by state, the federal and state courts have established a finite number in all jurisdictions. In criminal cases, however, counsel must demonstrate that the issuance of such challenges is not based on race.</w:t>
      </w:r>
      <w:r>
        <w:rPr>
          <w:rFonts w:ascii="Thorndale for VST" w:hAnsi="Thorndale for VST" w:cs="Thorndale for VST"/>
          <w:color w:val="0000FF"/>
          <w:sz w:val="24"/>
          <w:szCs w:val="24"/>
          <w:u w:val="single"/>
          <w:vertAlign w:val="superscript"/>
        </w:rPr>
        <w:t>20</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Once a jury is impaneled, the trial court judge may decide that the case characteristics are such that it is necessary to isolate the jury. </w:t>
      </w:r>
      <w:r>
        <w:rPr>
          <w:rFonts w:ascii="Thorndale for VST" w:hAnsi="Thorndale for VST" w:cs="Thorndale for VST"/>
          <w:b/>
          <w:bCs/>
          <w:color w:val="0000FF"/>
          <w:sz w:val="24"/>
          <w:szCs w:val="24"/>
          <w:u w:val="single"/>
        </w:rPr>
        <w:t>Sequestration</w:t>
      </w:r>
      <w:r>
        <w:rPr>
          <w:rFonts w:ascii="Thorndale for VST" w:hAnsi="Thorndale for VST" w:cs="Thorndale for VST"/>
          <w:sz w:val="24"/>
          <w:szCs w:val="24"/>
        </w:rPr>
        <w:t xml:space="preserve"> means that the jury is physically separated from the public for the duration of the trial. Although not uncommon, jury sequestration is not the norm because of the hardships associated with the physical separation of spouses, families, work, and the like—jurors in the 1994 O. J. Simpson murder trial, for example, were sequestered for more than nine months. Sequestration is most often employed in high-profile cases in which the media has displayed a heightened interest in the people, events, and proceedings of the case. It has been used in organized crime cases as well, to protect witnesses from corruption or harm. Despite these instances, sequestration is rarely necessary, and admonitions from judges regarding the sanctity of the process and the responsibility of jurors to remain free from prejudice and persuasion usually are sufficient precautions.</w:t>
      </w:r>
    </w:p>
    <w:p w:rsidR="003D0DD9" w:rsidRDefault="003D0DD9" w:rsidP="003D0DD9">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Opening Statements.</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After jury selection has been completed, counsel for both sides will formally introduce their respective cases to the panel. In the most general sense, </w:t>
      </w:r>
      <w:r>
        <w:rPr>
          <w:rFonts w:ascii="Thorndale for VST" w:hAnsi="Thorndale for VST" w:cs="Thorndale for VST"/>
          <w:i/>
          <w:iCs/>
          <w:sz w:val="24"/>
          <w:szCs w:val="24"/>
        </w:rPr>
        <w:t>opening statements</w:t>
      </w:r>
      <w:r>
        <w:rPr>
          <w:rFonts w:ascii="Thorndale for VST" w:hAnsi="Thorndale for VST" w:cs="Thorndale for VST"/>
          <w:sz w:val="24"/>
          <w:szCs w:val="24"/>
        </w:rPr>
        <w:t xml:space="preserve"> are a presentation of what the particular side will prove during the trial. Technically, opening statements are not considered an argument. Rather, they are an attempt by counsel to completely summarize the evidence that is to be introduced. In reality, however, opening statements are often used to craft a story and garner sympathy for either side’s cause. Because the process does not include the actual proffer of evidence, extraneous facts and circumstances that would be considered irrelevant during the </w:t>
      </w:r>
      <w:r>
        <w:rPr>
          <w:rFonts w:ascii="Thorndale for VST" w:hAnsi="Thorndale for VST" w:cs="Thorndale for VST"/>
          <w:b/>
          <w:bCs/>
          <w:color w:val="0000FF"/>
          <w:sz w:val="24"/>
          <w:szCs w:val="24"/>
          <w:u w:val="single"/>
        </w:rPr>
        <w:t>case-in-chief</w:t>
      </w:r>
      <w:r>
        <w:rPr>
          <w:rFonts w:ascii="Thorndale for VST" w:hAnsi="Thorndale for VST" w:cs="Thorndale for VST"/>
          <w:sz w:val="24"/>
          <w:szCs w:val="24"/>
        </w:rPr>
        <w:t xml:space="preserve"> (the portion of the trial whereby the party with the burden of proof presents its case) would be admissible. Such information might be included by the prosecution to humanize the victim or by the defense to humanize the defendant. For example, a prosecutor might describe Ms. Jones as a widow with four children who volunteered at the burn unit at the local hospital, but this information would not be necessarily relevant to the case (unless such circumstances precipitated her specific victimization, such as if she had been murdered in front of her four children in the hospital parking lot). The inclusion of these details is often designed to evoke sympathy from the jury. Because the burden of proof remains on the state, the prosecution is required to present its case first, and this order remains throughout the trial.</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Although no evidence is introduced during this period, the importance of opening statements cannot be overstated. It is the first chance for counsel to capture the attention and sympathy of the jury, and a measure of oratory skill is often a prerequisite to success in many cases. Individuals who have honed this courtroom skill are often characterized as performers or entertainers. Some are considered legendary, including</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F. Lee Bailey, Johnnie Cochran, Gerry Spence, and Richard “Racehorse” Haynes. Indeed, many argue that such skill obscures the truth and often leads to an outcome inconsistent with the realities of the evidence.</w:t>
      </w:r>
    </w:p>
    <w:p w:rsidR="003D0DD9" w:rsidRDefault="003D0DD9" w:rsidP="003D0DD9">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Presentation of Evidence.</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Just as prosecutors are legally bound to issue the initial salvo in opening statements, they are similarly obligated throughout the trial. As such, they initiate the presentment of evidence. Presentment begins when the first witness is called and ends when the prosecution rests. Evidence presented speaks to the “truth” of the calling party’s argument and can range from eyewitness testimony to scientific tests. All manner of evidence may be contained within the case-in-chief, including but not limited to, direct, circumstantial, demonstrative, real, testimonial, and scientific. As such, the presentation of the case-in-chief can be an arduous process, especially when the case involves contradictory stories, numerous witnesses, complicated legal issues, or complex scientific analysis. In the O. J. Simpson trial, for example, the prosecution’s case-in-chief took more than five months to present. Upon conclusion of its case-in-chief, the prosecution rests. At that time, the defense has the opportunity to present its case-in-chief. Technically speaking, the defense does not have the obligation to present evidence because the defendant is considered innocent until proven guilty. While defense counsel may rest without calling a single witness or argue that the prosecution failed to meet its burden of proof, this is an exceptionally rare approach and, generally, is not considered good practice.</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Once the defense has rested, the prosecution is permitted to call witnesses or introduce evidence to rebut material presented by the defense. This is called </w:t>
      </w:r>
      <w:r>
        <w:rPr>
          <w:rFonts w:ascii="Thorndale for VST" w:hAnsi="Thorndale for VST" w:cs="Thorndale for VST"/>
          <w:b/>
          <w:bCs/>
          <w:color w:val="0000FF"/>
          <w:sz w:val="24"/>
          <w:szCs w:val="24"/>
          <w:u w:val="single"/>
        </w:rPr>
        <w:t>rebuttal</w:t>
      </w:r>
      <w:r>
        <w:rPr>
          <w:rFonts w:ascii="Thorndale for VST" w:hAnsi="Thorndale for VST" w:cs="Thorndale for VST"/>
          <w:sz w:val="24"/>
          <w:szCs w:val="24"/>
        </w:rPr>
        <w:t xml:space="preserve"> or case-in-rebuttal. For the purposes of fairness, the defense is given a similar opportunity to refute or disprove evidence presented by the prosecution during rebuttal. This is called </w:t>
      </w:r>
      <w:r>
        <w:rPr>
          <w:rFonts w:ascii="Thorndale for VST" w:hAnsi="Thorndale for VST" w:cs="Thorndale for VST"/>
          <w:b/>
          <w:bCs/>
          <w:color w:val="0000FF"/>
          <w:sz w:val="24"/>
          <w:szCs w:val="24"/>
          <w:u w:val="single"/>
        </w:rPr>
        <w:t>rejoinder</w:t>
      </w:r>
      <w:r>
        <w:rPr>
          <w:rFonts w:ascii="Thorndale for VST" w:hAnsi="Thorndale for VST" w:cs="Thorndale for VST"/>
          <w:sz w:val="24"/>
          <w:szCs w:val="24"/>
        </w:rPr>
        <w:t xml:space="preserve"> or </w:t>
      </w:r>
      <w:r>
        <w:rPr>
          <w:rFonts w:ascii="Thorndale for VST" w:hAnsi="Thorndale for VST" w:cs="Thorndale for VST"/>
          <w:i/>
          <w:iCs/>
          <w:sz w:val="24"/>
          <w:szCs w:val="24"/>
        </w:rPr>
        <w:t>case-in-rejoinder</w:t>
      </w:r>
      <w:r>
        <w:rPr>
          <w:rFonts w:ascii="Thorndale for VST" w:hAnsi="Thorndale for VST" w:cs="Thorndale for VST"/>
          <w:sz w:val="24"/>
          <w:szCs w:val="24"/>
        </w:rPr>
        <w:t>. This process continues until both sides are satisfied or until the court concludes that the proof and counterproof is redundant, immaterial, or irrelevant. Evidence contained within the rebuttal-rejoinder period is narrower in scope than that presented during the case-in-chief, because it must be directed at information presented by the adverse party during the most recent proffering. As such, each subsequent rebuttal-rejoinder period should be shorter than the last.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In all of the above processes, the questioning of witnesses is further guided by procedural rules. During the case-in-chief, counsel engages in the direct examination of those witnesses it has called. </w:t>
      </w:r>
      <w:r>
        <w:rPr>
          <w:rFonts w:ascii="Thorndale for VST" w:hAnsi="Thorndale for VST" w:cs="Thorndale for VST"/>
          <w:b/>
          <w:bCs/>
          <w:color w:val="0000FF"/>
          <w:sz w:val="24"/>
          <w:szCs w:val="24"/>
          <w:u w:val="single"/>
        </w:rPr>
        <w:t>Direct examination</w:t>
      </w:r>
      <w:r>
        <w:rPr>
          <w:rFonts w:ascii="Thorndale for VST" w:hAnsi="Thorndale for VST" w:cs="Thorndale for VST"/>
          <w:sz w:val="24"/>
          <w:szCs w:val="24"/>
        </w:rPr>
        <w:t xml:space="preserve"> is the questioning of a witness by the calling party. Leading questions, or those that suggest a preferred response, are not allowed during this period. Answers to questions posed during direct are often narrative in nature. An example of a proper question might be: “Where were you on the night of August 25, 2004?”; as opposed to “What happened on August 25, 2004 after the defendant shot the victim?” that may be intended to elicit the same information but would be considered improper.</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The process of </w:t>
      </w:r>
      <w:r>
        <w:rPr>
          <w:rFonts w:ascii="Thorndale for VST" w:hAnsi="Thorndale for VST" w:cs="Thorndale for VST"/>
          <w:b/>
          <w:bCs/>
          <w:color w:val="0000FF"/>
          <w:sz w:val="24"/>
          <w:szCs w:val="24"/>
          <w:u w:val="single"/>
        </w:rPr>
        <w:t>cross-examination</w:t>
      </w:r>
      <w:r>
        <w:rPr>
          <w:rFonts w:ascii="Thorndale for VST" w:hAnsi="Thorndale for VST" w:cs="Thorndale for VST"/>
          <w:sz w:val="24"/>
          <w:szCs w:val="24"/>
        </w:rPr>
        <w:t>, on the other hand, involves the questioning of a witness by opposing counsel and commences immediately after the direct examination of said witness. Cross-examination is the cornerstone of the Sixth Amendment and has a long history. John Henry Wigmore, the preeminent scholar on evidence, has credited the practice of cross-examination to Socrates. To wit,</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ab/>
        <w:t>… even during those thirty days of imprisonment that elapsed before the fatal cup of hemlock was handed to him, and while he sat in chains, conversing with his disciples in those masterpieces of dialogue transmitted to us by Plato, we find him still shrewdly and genially wielding that wonderful weapon of cross-examination, in discussing the immortality of the human soul.</w:t>
      </w:r>
      <w:r>
        <w:rPr>
          <w:rFonts w:ascii="Thorndale for VST" w:hAnsi="Thorndale for VST" w:cs="Thorndale for VST"/>
          <w:color w:val="0000FF"/>
          <w:sz w:val="24"/>
          <w:szCs w:val="24"/>
          <w:u w:val="single"/>
          <w:vertAlign w:val="superscript"/>
        </w:rPr>
        <w:t>21</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Questions asked during cross-examination are limited to the scope of the direct examination. Thus, only questions directed at issues that were introduced during direct are admissible. Although often coached by the calling party before the trial itself, witnesses sometimes “open the door” for opposing counsel, which means that the witness reveals something that allows opposing counsel to pursue an avenue of questioning that would have not been available but for the witness’s testimony. While leading questions may be asked during this period, argumentative questions, or questions that are harassing in nature, may not. In any event, the judge plays an important role in the questioning of witnesses. However, it is the responsibility of counsel to raise objections where necessary, thereby preserving the record for appeal. The contemporaneous objection rule, for example, allows counsel to object to a question before the witness responds. Without the objection of counsel, appellate issues regarding said questioning will not be considered.</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The impeachment of witnesses (discussed in greater detail in </w:t>
      </w:r>
      <w:r>
        <w:rPr>
          <w:rFonts w:ascii="Thorndale for VST" w:hAnsi="Thorndale for VST" w:cs="Thorndale for VST"/>
          <w:color w:val="0000FF"/>
          <w:sz w:val="24"/>
          <w:szCs w:val="24"/>
          <w:u w:val="single"/>
        </w:rPr>
        <w:t>Chapter 8</w:t>
      </w:r>
      <w:r>
        <w:rPr>
          <w:rFonts w:ascii="Thorndale for VST" w:hAnsi="Thorndale for VST" w:cs="Thorndale for VST"/>
          <w:sz w:val="24"/>
          <w:szCs w:val="24"/>
        </w:rPr>
        <w:t>) may occur during cross-examination. This is an attempt by opposing counsel to lessen the witness’s credibility. Various strategies for impeachment exist, including, but not limited to, showing that the witness is lying, demonstrating that the witness is a felon, and disclosing that the witness is being rewarded or being allowed to avoid punishment for his or her testimony.</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Like the period of rebuttal-rejoinder discussed previously, each side has the right to continue questioning witnesses until satisfied or until the court determines that the testimony is redundant, immaterial, or irrelevant. Thus, the calling party may engage in a </w:t>
      </w:r>
      <w:r>
        <w:rPr>
          <w:rFonts w:ascii="Thorndale for VST" w:hAnsi="Thorndale for VST" w:cs="Thorndale for VST"/>
          <w:i/>
          <w:iCs/>
          <w:sz w:val="24"/>
          <w:szCs w:val="24"/>
        </w:rPr>
        <w:t>redirect</w:t>
      </w:r>
      <w:r>
        <w:rPr>
          <w:rFonts w:ascii="Thorndale for VST" w:hAnsi="Thorndale for VST" w:cs="Thorndale for VST"/>
          <w:sz w:val="24"/>
          <w:szCs w:val="24"/>
        </w:rPr>
        <w:t xml:space="preserve"> examination of the witness immediately following cross, and so on. Redirect is often necessary to repair the credibility of the witness.</w:t>
      </w:r>
    </w:p>
    <w:p w:rsidR="003D0DD9" w:rsidRDefault="003D0DD9" w:rsidP="003D0DD9">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Closing Arguments.</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At the conclusion of the presentation of evidence, both sides offer </w:t>
      </w:r>
      <w:r>
        <w:rPr>
          <w:rFonts w:ascii="Thorndale for VST" w:hAnsi="Thorndale for VST" w:cs="Thorndale for VST"/>
          <w:i/>
          <w:iCs/>
          <w:sz w:val="24"/>
          <w:szCs w:val="24"/>
        </w:rPr>
        <w:t>closing arguments</w:t>
      </w:r>
      <w:r>
        <w:rPr>
          <w:rFonts w:ascii="Thorndale for VST" w:hAnsi="Thorndale for VST" w:cs="Thorndale for VST"/>
          <w:sz w:val="24"/>
          <w:szCs w:val="24"/>
        </w:rPr>
        <w:t>. In the most general sense, a closing argument is a summary of the case that was presented. During the process, both sides summarize the case and the evidence in a way that best serves their client. No new evidence may be introduced during closing arguments, and objections may be raised whenever counsel misstates the evidence. It is the responsibility of the prosecution to overcome all reasonable doubt—by restating the evidence and disproving alternative scenarios introduced by the defense. Conversely, the defense seeks to establish reasonable doubt. Defense counsel does not have the responsibility to prove reasonable doubt because the defendant is cloaked in the presumption of innocence, but most defendants will aggressively attack the prosecution’s case during closing arguments. Because the prosecution has the burden of proof, it is given the opportunity to offer additional closing arguments after the defense has concluded. Thus, the prosecution goes first and last during closing arguments.</w:t>
      </w:r>
    </w:p>
    <w:p w:rsidR="003D0DD9" w:rsidRDefault="003D0DD9" w:rsidP="003D0DD9">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Instructions to the Jury.</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Immediately preceding deliberations by the jury and immediately following closing arguments, the judge will offer instructions to the jury. Essentially, the judge arms the jury with the information necessary to evaluate the unlawfulness of the behavior in question and the culpability of the accused. While instructions will vary based on case characteristics, some general principals apply in all cases. The judge must include all applicable substantive principles of law, definitions of standards of proof, and allocation of burden. In addition, jury instructions typically include standard admonitions regarding the process and conduct of deliberations and the definition of evidence. The judge may further instruct the jury to disregard particular pieces of evidence that were arbitrated during the trial and dismissed from consideration. Finally, the judge may issue limiting instructions to define the parameters in which some evidence may be considered. In most cases, both the state and defense counsel are permitted to submit potential jury instructions to the judge and to opposing counsel before the conclusion of the presentation of evidence. The issuance of instructions to the jury by judges is extremely important, because mistakes may constitute reversible error (see “Reversible Error” box earlier in the chapter). Capital cases require instructions that emphasize the gravity of the crime.</w:t>
      </w:r>
    </w:p>
    <w:p w:rsidR="003D0DD9" w:rsidRDefault="003D0DD9" w:rsidP="003D0DD9">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Deliberations.</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After the evidence has been presented and the judge has issued instructions, the jury is transformed from a passive observer to an active participant in the criminal justice process. Before this time, jurors are not permitted to discuss the case, either among themselves or with others. However, this changes once jurors are given the case by the judge and retire to a private area. Their first action as a group is to elect a </w:t>
      </w:r>
      <w:r>
        <w:rPr>
          <w:rFonts w:ascii="Thorndale for VST" w:hAnsi="Thorndale for VST" w:cs="Thorndale for VST"/>
          <w:i/>
          <w:iCs/>
          <w:sz w:val="24"/>
          <w:szCs w:val="24"/>
        </w:rPr>
        <w:t>jury foreperson</w:t>
      </w:r>
      <w:r>
        <w:rPr>
          <w:rFonts w:ascii="Thorndale for VST" w:hAnsi="Thorndale for VST" w:cs="Thorndale for VST"/>
          <w:sz w:val="24"/>
          <w:szCs w:val="24"/>
        </w:rPr>
        <w:t>. This person is responsible for maintaining control during the deliberations, which are held in secrecy, and for either announcing the verdict or delivering it to the judge. The assurance of confidentiality is necessary for impartiality because it encourages the free flow of information in a democratic society. Questions that arise during deliberations may be submitted to the judge for consideration. When this occurs, the judge will summon both sides for a reading of the question. In most instances, questions are addressed through the rereading of the jury instructions or portions of the transcript.</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In the federal system (and in most states), felony verdicts are required to be unanimous, although the Court has upheld the right of the states to determine level of consensus in noncapital cases.</w:t>
      </w:r>
      <w:r>
        <w:rPr>
          <w:rFonts w:ascii="Thorndale for VST" w:hAnsi="Thorndale for VST" w:cs="Thorndale for VST"/>
          <w:color w:val="0000FF"/>
          <w:sz w:val="24"/>
          <w:szCs w:val="24"/>
          <w:u w:val="single"/>
          <w:vertAlign w:val="superscript"/>
        </w:rPr>
        <w:t>22</w:t>
      </w:r>
      <w:r>
        <w:rPr>
          <w:rFonts w:ascii="Thorndale for VST" w:hAnsi="Thorndale for VST" w:cs="Thorndale for VST"/>
          <w:sz w:val="24"/>
          <w:szCs w:val="24"/>
        </w:rPr>
        <w:t xml:space="preserve"> If deliberations stall or reach an impasse, the court and counsel shall be informed. At this time, the judge may issue a </w:t>
      </w:r>
      <w:r>
        <w:rPr>
          <w:rFonts w:ascii="Thorndale for VST" w:hAnsi="Thorndale for VST" w:cs="Thorndale for VST"/>
          <w:i/>
          <w:iCs/>
          <w:sz w:val="24"/>
          <w:szCs w:val="24"/>
        </w:rPr>
        <w:t>dynamite charge</w:t>
      </w:r>
      <w:r>
        <w:rPr>
          <w:rFonts w:ascii="Thorndale for VST" w:hAnsi="Thorndale for VST" w:cs="Thorndale for VST"/>
          <w:sz w:val="24"/>
          <w:szCs w:val="24"/>
        </w:rPr>
        <w:t xml:space="preserve">. Such a charge is issued usually in the form of an admonition from the judge that encourages the jury to continue their work and reminds them of the time and expense already expended in this endeavor. In addition, the admonition speaks directly to those individuals who hold the minority opinion and encourages them to consider their position and that of their fellow jurors and to entertain the notion that their position might be in error. Many defendants object to such a charge, arguing that it violates due process and unfairly disadvantages them. Indeed, some studies on hung juries indicate that the majority of them favored conviction. Regardless, dynamite charges are used most often in criminal courtrooms. Juries that remain deadlocked and are incapable of rendering a final verdict are declared hung. A </w:t>
      </w:r>
      <w:r>
        <w:rPr>
          <w:rFonts w:ascii="Thorndale for VST" w:hAnsi="Thorndale for VST" w:cs="Thorndale for VST"/>
          <w:i/>
          <w:iCs/>
          <w:sz w:val="24"/>
          <w:szCs w:val="24"/>
        </w:rPr>
        <w:t>hung jury</w:t>
      </w:r>
      <w:r>
        <w:rPr>
          <w:rFonts w:ascii="Thorndale for VST" w:hAnsi="Thorndale for VST" w:cs="Thorndale for VST"/>
          <w:sz w:val="24"/>
          <w:szCs w:val="24"/>
        </w:rPr>
        <w:t>, one that fails to reach a verdict, results in a mistrial.</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A </w:t>
      </w:r>
      <w:r>
        <w:rPr>
          <w:rFonts w:ascii="Thorndale for VST" w:hAnsi="Thorndale for VST" w:cs="Thorndale for VST"/>
          <w:b/>
          <w:bCs/>
          <w:color w:val="0000FF"/>
          <w:sz w:val="24"/>
          <w:szCs w:val="24"/>
          <w:u w:val="single"/>
        </w:rPr>
        <w:t>mistrial</w:t>
      </w:r>
      <w:r>
        <w:rPr>
          <w:rFonts w:ascii="Thorndale for VST" w:hAnsi="Thorndale for VST" w:cs="Thorndale for VST"/>
          <w:sz w:val="24"/>
          <w:szCs w:val="24"/>
        </w:rPr>
        <w:t xml:space="preserve"> occurs when a final disposition of guilt has not been established. Although mistrials are often caused by hung juries, other reasons and circumstances occur to cause one to be declared, including, but not limited to, prosecutorial misconduct, corruption of the actors, juror impropriety, or other actions that might unfairly disadvantage the accused.</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In cases in which the jury has achieved the requisite consensus, the verdict is then read in open court by the court clerk, the judge, or the jury foreperson. A polling of the jury is often requested, and jurors may be required to announce their individual verdict. This assures that the process was fair and that due process was conducted. In criminal cases, possible verdicts are limited to guilty, not guilty, or not guilty by reason of affirmative defense.</w:t>
      </w:r>
    </w:p>
    <w:p w:rsidR="003D0DD9" w:rsidRDefault="003D0DD9" w:rsidP="003D0DD9">
      <w:pPr>
        <w:autoSpaceDE w:val="0"/>
        <w:autoSpaceDN w:val="0"/>
        <w:adjustRightInd w:val="0"/>
        <w:spacing w:before="320" w:after="0" w:line="240" w:lineRule="auto"/>
        <w:ind w:left="720"/>
        <w:rPr>
          <w:rFonts w:ascii="Andale Sans for VST" w:hAnsi="Andale Sans for VST" w:cs="Andale Sans for VST"/>
          <w:sz w:val="32"/>
          <w:szCs w:val="32"/>
        </w:rPr>
      </w:pPr>
      <w:r>
        <w:rPr>
          <w:rFonts w:ascii="Andale Sans for VST" w:hAnsi="Andale Sans for VST" w:cs="Andale Sans for VST"/>
          <w:b/>
          <w:bCs/>
          <w:sz w:val="32"/>
          <w:szCs w:val="32"/>
        </w:rPr>
        <w:t>Sentencing.</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Upon the pronouncement of a “not guilty” verdict, the court will enter a judgment of acquittal and the defendant will be released immediately from custody. A “guilty” verdict, however, will result in the imposition of sentencing. Sentences for felonious conduct range from probation to execution. In noncapital cases, the court will often impose sentencing immediately. Capital cases often have a secondary process or sentencing phase in which mitigating and aggravating factors are presented to the jury. Mitigating factors are those case characteristics that tend to reduce the culpability of the defendant and the applicable sentence. Some common mitigating factors include, but are not limited to, age of the defendant, intoxication level, absence of criminal history, childhood victimization, and cooperation with authorities. Conversely, aggravating factors are those case characteristics that tend to increase the defendant’s culpability and subsequent sentence. They include, but are not limited to, past criminal history, dismemberment of body, and flight from prosecution. Judges may not impose any punishment they desire. The imposition of punishment must fall within the parameters of that jurisdiction and the U.S. Constitution. Most states have adopted or modified the Federal Sentencing Guidelines, which carefully delineates the range of sanctions available and justifications for departure.</w:t>
      </w:r>
    </w:p>
    <w:p w:rsidR="003D0DD9" w:rsidRDefault="003D0DD9" w:rsidP="003D0DD9">
      <w:pPr>
        <w:autoSpaceDE w:val="0"/>
        <w:autoSpaceDN w:val="0"/>
        <w:adjustRightInd w:val="0"/>
        <w:spacing w:before="240" w:after="0" w:line="240" w:lineRule="auto"/>
        <w:ind w:left="720"/>
        <w:rPr>
          <w:rFonts w:ascii="Thorndale for VST" w:hAnsi="Thorndale for VST" w:cs="Thorndale for VST"/>
          <w:sz w:val="24"/>
          <w:szCs w:val="24"/>
        </w:rPr>
      </w:pPr>
      <w:r>
        <w:rPr>
          <w:rFonts w:ascii="Thorndale for VST" w:hAnsi="Thorndale for VST" w:cs="Thorndale for VST"/>
          <w:sz w:val="24"/>
          <w:szCs w:val="24"/>
        </w:rPr>
        <w:t xml:space="preserve">Findings of guilty may result in a </w:t>
      </w:r>
      <w:r>
        <w:rPr>
          <w:rFonts w:ascii="Thorndale for VST" w:hAnsi="Thorndale for VST" w:cs="Thorndale for VST"/>
          <w:i/>
          <w:iCs/>
          <w:sz w:val="24"/>
          <w:szCs w:val="24"/>
        </w:rPr>
        <w:t>direct appeal</w:t>
      </w:r>
      <w:r>
        <w:rPr>
          <w:rFonts w:ascii="Thorndale for VST" w:hAnsi="Thorndale for VST" w:cs="Thorndale for VST"/>
          <w:sz w:val="24"/>
          <w:szCs w:val="24"/>
        </w:rPr>
        <w:t>. Unlike traditional types of appeals (discussed later in the chapter), a direct appeal is made by the defense attorney to the trial judge. In essence, a direct appeal is a request by the defense to set aside or reverse the jury’s verdict. Although some direct appeals have worked in the past, it is rare for a trial judge to set aside the jury’s verdict. Indeed, it happens only when the judge believes that the jury was unreasonable or that reversible legal error occurred during the trial.</w:t>
      </w:r>
    </w:p>
    <w:p w:rsidR="003D0DD9" w:rsidRDefault="003D0DD9" w:rsidP="003D0DD9">
      <w:pPr>
        <w:autoSpaceDE w:val="0"/>
        <w:autoSpaceDN w:val="0"/>
        <w:adjustRightInd w:val="0"/>
        <w:spacing w:after="0" w:line="240" w:lineRule="auto"/>
        <w:ind w:left="900"/>
        <w:rPr>
          <w:rFonts w:ascii="Andale Sans for VST" w:hAnsi="Andale Sans for VST" w:cs="Andale Sans for VST"/>
          <w:sz w:val="32"/>
          <w:szCs w:val="32"/>
        </w:rPr>
      </w:pPr>
      <w:r>
        <w:rPr>
          <w:rFonts w:ascii="Andale Sans for VST" w:hAnsi="Andale Sans for VST" w:cs="Andale Sans for VST"/>
          <w:b/>
          <w:bCs/>
          <w:sz w:val="32"/>
          <w:szCs w:val="32"/>
        </w:rPr>
        <w:t>The Case of the Murdering Au Pair</w:t>
      </w:r>
    </w:p>
    <w:p w:rsidR="003D0DD9" w:rsidRDefault="003D0DD9" w:rsidP="003D0DD9">
      <w:pPr>
        <w:autoSpaceDE w:val="0"/>
        <w:autoSpaceDN w:val="0"/>
        <w:adjustRightInd w:val="0"/>
        <w:spacing w:before="240" w:after="0" w:line="240" w:lineRule="auto"/>
        <w:ind w:left="900"/>
        <w:rPr>
          <w:rFonts w:ascii="Thorndale for VST" w:hAnsi="Thorndale for VST" w:cs="Thorndale for VST"/>
          <w:sz w:val="24"/>
          <w:szCs w:val="24"/>
        </w:rPr>
      </w:pPr>
      <w:r>
        <w:rPr>
          <w:rFonts w:ascii="Thorndale for VST" w:hAnsi="Thorndale for VST" w:cs="Thorndale for VST"/>
          <w:sz w:val="24"/>
          <w:szCs w:val="24"/>
        </w:rPr>
        <w:t>Louise Woodward, a young nanny from England, was convicted of second-degree murder in the shaking death of Matthew Eappen, the infant son of a pair of New England doctors. The case evoked strong feelings across the country and led to heated debates about the role of working women. Initially, Judge Hiller B. Zobel imposed the mandatory sentence of life in prison. Weeks later, the same judge set aside the jury’s verdict at the request of the defense, reducing the charge from second-degree murder to involuntary manslaughter. He also reduced her sentence from life in prison to time served, which outraged many individuals across the country. His justification was that the jury’s verdict was inconsistent with the facts. He argued that Woodward lacked the requisite malice necessary for the finding of second-degree murder. Woodward immediately returned to England, where she was embraced by her community and treated as a survivor.</w:t>
      </w:r>
    </w:p>
    <w:p w:rsidR="003D0DD9" w:rsidRDefault="003D0DD9" w:rsidP="003D0DD9">
      <w:pPr>
        <w:autoSpaceDE w:val="0"/>
        <w:autoSpaceDN w:val="0"/>
        <w:adjustRightInd w:val="0"/>
        <w:spacing w:before="320" w:after="0" w:line="240" w:lineRule="auto"/>
        <w:ind w:left="540"/>
        <w:rPr>
          <w:rFonts w:ascii="Andale Sans for VST" w:hAnsi="Andale Sans for VST" w:cs="Andale Sans for VST"/>
          <w:sz w:val="32"/>
          <w:szCs w:val="32"/>
        </w:rPr>
      </w:pPr>
      <w:r>
        <w:rPr>
          <w:rFonts w:ascii="Andale Sans for VST" w:hAnsi="Andale Sans for VST" w:cs="Andale Sans for VST"/>
          <w:b/>
          <w:bCs/>
          <w:sz w:val="32"/>
          <w:szCs w:val="32"/>
        </w:rPr>
        <w:t>Posttrial Motions and Appeals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The contemporary system of criminal justice in the United States is bifurcated into a two-tiered entity consisting of trial and appellate courts. Unlike trial courts that hear evidence and determine guilt or innocence, appellate courts are singularly tasked with the evaluation of process. Composed of a panel of judges, appellate courts must evaluate whether or not the trial court erred in the application of law. Unfortunately, the fragmentation of the American judicial process often results in inconsistency, in that only cases decided in the court immediately superior are binding in the absence of a ruling by the highest court. Thus, the “dying declaration” of a suspect who implicates his brother may be admissible in one county, but not in another.</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Individuals convicted by a trial court may appeal such conviction for a variety of reasons. However, only appeals that are timely and proper may be considered. The entry of judgment initiates the appellate clock, and briefs must be submitted within the parameters established by law. In addition, appeals in state courts must delineate within the procedural documents some deviation from due process. Such documents may include a clerk’s transcript of the case documentation or the reporter’s transcript of all that was said during trial. Appeals on evidentiary matters may be heard if the groundwork was laid at the original trial. As stated previously, attorneys have the responsibility of objecting to evidence that they consider being inadmissible under the rules.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sz w:val="24"/>
          <w:szCs w:val="24"/>
        </w:rPr>
        <w:t xml:space="preserve">Appeals are initiated upon the filing of a brief. A </w:t>
      </w:r>
      <w:r>
        <w:rPr>
          <w:rFonts w:ascii="Thorndale for VST" w:hAnsi="Thorndale for VST" w:cs="Thorndale for VST"/>
          <w:b/>
          <w:bCs/>
          <w:color w:val="0000FF"/>
          <w:sz w:val="24"/>
          <w:szCs w:val="24"/>
          <w:u w:val="single"/>
        </w:rPr>
        <w:t>brief</w:t>
      </w:r>
      <w:r>
        <w:rPr>
          <w:rFonts w:ascii="Thorndale for VST" w:hAnsi="Thorndale for VST" w:cs="Thorndale for VST"/>
          <w:sz w:val="24"/>
          <w:szCs w:val="24"/>
        </w:rPr>
        <w:t xml:space="preserve"> is a summary of the case, and it includes a statement of relevant facts and issues of law and a rationale for appeal. The issues of law that are raised must be documented properly, and the rationale for appeal must be supported by case law or statute. Only the defense may appeal a verdict, because the prosecution’s appeal following a verdict of “not guilty” would constitute double jeopardy. Posttrial motions and appeals are the last avenue for convicted offenders.</w:t>
      </w:r>
    </w:p>
    <w:p w:rsidR="003D0DD9" w:rsidRDefault="003D0DD9" w:rsidP="003D0DD9">
      <w:pPr>
        <w:autoSpaceDE w:val="0"/>
        <w:autoSpaceDN w:val="0"/>
        <w:adjustRightInd w:val="0"/>
        <w:spacing w:before="320" w:after="0" w:line="240" w:lineRule="auto"/>
        <w:ind w:left="360"/>
        <w:rPr>
          <w:rFonts w:ascii="Andale Sans for VST" w:hAnsi="Andale Sans for VST" w:cs="Andale Sans for VST"/>
          <w:sz w:val="32"/>
          <w:szCs w:val="32"/>
        </w:rPr>
      </w:pPr>
      <w:r>
        <w:rPr>
          <w:rFonts w:ascii="Andale Sans for VST" w:hAnsi="Andale Sans for VST" w:cs="Andale Sans for VST"/>
          <w:b/>
          <w:bCs/>
          <w:sz w:val="32"/>
          <w:szCs w:val="32"/>
        </w:rPr>
        <w:t>CONCLUSIONS</w:t>
      </w:r>
    </w:p>
    <w:p w:rsidR="003D0DD9" w:rsidRDefault="003D0DD9" w:rsidP="003D0DD9">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The structure of the American criminal justice system can be described best as a model of interrelated, independent agencies at the state and federal level. Many crimes occur as violations of state criminal codes and are investigated at the state and local level under general police powers. Some criminal offenses are violations of federal law and some are offenses that violate state and federal codes. Without general police powers, federal law enforcement agencies are charged with investigating violations of specific federal laws (passed by Congress) that are assigned to their respective agencies.</w:t>
      </w:r>
    </w:p>
    <w:p w:rsidR="003D0DD9" w:rsidRDefault="003D0DD9" w:rsidP="003D0DD9">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State and federal governments are sovereign, but they must maintain codes and procedures that uphold the U.S. Constitution. These include rules of evidence. Since 1975, when Congress enacted the Federal Rules of Evidence, most states have elected to adopt them but retain the right to modify and interpret the rules as deemed necessary. Therefore, rules of evidence can still differ from state to state, as well as between state and federal courts.</w:t>
      </w:r>
    </w:p>
    <w:p w:rsidR="003D0DD9" w:rsidRDefault="003D0DD9" w:rsidP="003D0DD9">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Another important aspect of our criminal justice system relevant to the rules of evidence is its adversarial nature, which provides the framework for the main courtroom actors: the prosecutor, the defense attorney, and the judge. The prosecutor and defense attorney are adversaries attempting to present facts that are most favorable to their case. The adversaries combat with one another by petitioning the judge to exclude or admit evidence. The behavior of the actors is governed further by the fact that the United States employs an accusatorial system. Unlike the inquisitorial system of many European countries, an accusatorial system allows the defendant the absolute right to remain silent. Under an inquisitorial system, defendants do not have an absolute right to remain silent, and judges, in some special circumstances, can conduct investigations. In the American accusatorial system, information collected by the police in violation of a defendant’s right to remain silent often can be ruled inadmissible.</w:t>
      </w:r>
    </w:p>
    <w:p w:rsidR="003D0DD9" w:rsidRDefault="003D0DD9" w:rsidP="003D0DD9">
      <w:pPr>
        <w:autoSpaceDE w:val="0"/>
        <w:autoSpaceDN w:val="0"/>
        <w:adjustRightInd w:val="0"/>
        <w:spacing w:before="240" w:after="0" w:line="240" w:lineRule="auto"/>
        <w:ind w:left="360"/>
        <w:rPr>
          <w:rFonts w:ascii="Thorndale for VST" w:hAnsi="Thorndale for VST" w:cs="Thorndale for VST"/>
          <w:sz w:val="24"/>
          <w:szCs w:val="24"/>
        </w:rPr>
      </w:pPr>
      <w:r>
        <w:rPr>
          <w:rFonts w:ascii="Thorndale for VST" w:hAnsi="Thorndale for VST" w:cs="Thorndale for VST"/>
          <w:sz w:val="24"/>
          <w:szCs w:val="24"/>
        </w:rPr>
        <w:t>The criminal court process can be lengthy and usually is initiated by the filing of a criminal complaint, the outcome of which may be a verdict or plea bargain. The duration of the process varies based on the applicable procedural rules. Irrespective of jurisdiction, the court process is guided by provisions firmly embedded in the U.S. Constitution.</w:t>
      </w:r>
    </w:p>
    <w:p w:rsidR="003D0DD9" w:rsidRDefault="003D0DD9" w:rsidP="003D0DD9">
      <w:pPr>
        <w:autoSpaceDE w:val="0"/>
        <w:autoSpaceDN w:val="0"/>
        <w:adjustRightInd w:val="0"/>
        <w:spacing w:before="320" w:after="0" w:line="240" w:lineRule="auto"/>
        <w:ind w:left="360"/>
        <w:rPr>
          <w:rFonts w:ascii="Andale Sans for VST" w:hAnsi="Andale Sans for VST" w:cs="Andale Sans for VST"/>
          <w:sz w:val="32"/>
          <w:szCs w:val="32"/>
        </w:rPr>
      </w:pPr>
      <w:r>
        <w:rPr>
          <w:rFonts w:ascii="Andale Sans for VST" w:hAnsi="Andale Sans for VST" w:cs="Andale Sans for VST"/>
          <w:b/>
          <w:bCs/>
          <w:sz w:val="32"/>
          <w:szCs w:val="32"/>
        </w:rPr>
        <w:t>DISCUSSION QUESTIONS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1</w:t>
      </w:r>
      <w:r>
        <w:rPr>
          <w:rFonts w:ascii="Thorndale for VST" w:hAnsi="Thorndale for VST" w:cs="Thorndale for VST"/>
          <w:sz w:val="24"/>
          <w:szCs w:val="24"/>
        </w:rPr>
        <w:t>.</w:t>
      </w:r>
      <w:r>
        <w:rPr>
          <w:rFonts w:ascii="Thorndale for VST" w:hAnsi="Thorndale for VST" w:cs="Thorndale for VST"/>
          <w:sz w:val="24"/>
          <w:szCs w:val="24"/>
        </w:rPr>
        <w:tab/>
        <w:t>Discuss the methods of appointing judges and advantages and disadvantages of each.</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2</w:t>
      </w:r>
      <w:r>
        <w:rPr>
          <w:rFonts w:ascii="Thorndale for VST" w:hAnsi="Thorndale for VST" w:cs="Thorndale for VST"/>
          <w:sz w:val="24"/>
          <w:szCs w:val="24"/>
        </w:rPr>
        <w:t>.</w:t>
      </w:r>
      <w:r>
        <w:rPr>
          <w:rFonts w:ascii="Thorndale for VST" w:hAnsi="Thorndale for VST" w:cs="Thorndale for VST"/>
          <w:sz w:val="24"/>
          <w:szCs w:val="24"/>
        </w:rPr>
        <w:tab/>
        <w:t>What problems are associated with Alford and nolo contendere pleas?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3</w:t>
      </w:r>
      <w:r>
        <w:rPr>
          <w:rFonts w:ascii="Thorndale for VST" w:hAnsi="Thorndale for VST" w:cs="Thorndale for VST"/>
          <w:sz w:val="24"/>
          <w:szCs w:val="24"/>
        </w:rPr>
        <w:t>.</w:t>
      </w:r>
      <w:r>
        <w:rPr>
          <w:rFonts w:ascii="Thorndale for VST" w:hAnsi="Thorndale for VST" w:cs="Thorndale for VST"/>
          <w:sz w:val="24"/>
          <w:szCs w:val="24"/>
        </w:rPr>
        <w:tab/>
        <w:t>What is the difference between exculpatory and enculpatory evidence?</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4</w:t>
      </w:r>
      <w:r>
        <w:rPr>
          <w:rFonts w:ascii="Thorndale for VST" w:hAnsi="Thorndale for VST" w:cs="Thorndale for VST"/>
          <w:sz w:val="24"/>
          <w:szCs w:val="24"/>
        </w:rPr>
        <w:t>.</w:t>
      </w:r>
      <w:r>
        <w:rPr>
          <w:rFonts w:ascii="Thorndale for VST" w:hAnsi="Thorndale for VST" w:cs="Thorndale for VST"/>
          <w:sz w:val="24"/>
          <w:szCs w:val="24"/>
        </w:rPr>
        <w:tab/>
        <w:t>How does a plea of not guilty differ from a plea of not guilty by reason of affirmative defense?</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5</w:t>
      </w:r>
      <w:r>
        <w:rPr>
          <w:rFonts w:ascii="Thorndale for VST" w:hAnsi="Thorndale for VST" w:cs="Thorndale for VST"/>
          <w:sz w:val="24"/>
          <w:szCs w:val="24"/>
        </w:rPr>
        <w:t>.</w:t>
      </w:r>
      <w:r>
        <w:rPr>
          <w:rFonts w:ascii="Thorndale for VST" w:hAnsi="Thorndale for VST" w:cs="Thorndale for VST"/>
          <w:sz w:val="24"/>
          <w:szCs w:val="24"/>
        </w:rPr>
        <w:tab/>
        <w:t>What are some examples of the use of a plea of not guilty by reason of affirmative defense?</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6</w:t>
      </w:r>
      <w:r>
        <w:rPr>
          <w:rFonts w:ascii="Thorndale for VST" w:hAnsi="Thorndale for VST" w:cs="Thorndale for VST"/>
          <w:sz w:val="24"/>
          <w:szCs w:val="24"/>
        </w:rPr>
        <w:t>.</w:t>
      </w:r>
      <w:r>
        <w:rPr>
          <w:rFonts w:ascii="Thorndale for VST" w:hAnsi="Thorndale for VST" w:cs="Thorndale for VST"/>
          <w:sz w:val="24"/>
          <w:szCs w:val="24"/>
        </w:rPr>
        <w:tab/>
        <w:t>Briefly list and describe the elements of the criminal justice process.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7</w:t>
      </w:r>
      <w:r>
        <w:rPr>
          <w:rFonts w:ascii="Thorndale for VST" w:hAnsi="Thorndale for VST" w:cs="Thorndale for VST"/>
          <w:sz w:val="24"/>
          <w:szCs w:val="24"/>
        </w:rPr>
        <w:t>.</w:t>
      </w:r>
      <w:r>
        <w:rPr>
          <w:rFonts w:ascii="Thorndale for VST" w:hAnsi="Thorndale for VST" w:cs="Thorndale for VST"/>
          <w:sz w:val="24"/>
          <w:szCs w:val="24"/>
        </w:rPr>
        <w:tab/>
        <w:t>What is the difference between challenges for cause and peremptory challenges?</w:t>
      </w:r>
    </w:p>
    <w:p w:rsidR="003D0DD9" w:rsidRDefault="003D0DD9" w:rsidP="003D0DD9">
      <w:pPr>
        <w:autoSpaceDE w:val="0"/>
        <w:autoSpaceDN w:val="0"/>
        <w:adjustRightInd w:val="0"/>
        <w:spacing w:before="320" w:after="0" w:line="240" w:lineRule="auto"/>
        <w:ind w:left="360"/>
        <w:rPr>
          <w:rFonts w:ascii="Andale Sans for VST" w:hAnsi="Andale Sans for VST" w:cs="Andale Sans for VST"/>
          <w:sz w:val="32"/>
          <w:szCs w:val="32"/>
        </w:rPr>
      </w:pPr>
      <w:r>
        <w:rPr>
          <w:rFonts w:ascii="Andale Sans for VST" w:hAnsi="Andale Sans for VST" w:cs="Andale Sans for VST"/>
          <w:b/>
          <w:bCs/>
          <w:sz w:val="32"/>
          <w:szCs w:val="32"/>
        </w:rPr>
        <w:t>TRUE/FALSE</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1</w:t>
      </w:r>
      <w:r>
        <w:rPr>
          <w:rFonts w:ascii="Thorndale for VST" w:hAnsi="Thorndale for VST" w:cs="Thorndale for VST"/>
          <w:sz w:val="24"/>
          <w:szCs w:val="24"/>
        </w:rPr>
        <w:t>.</w:t>
      </w:r>
      <w:r>
        <w:rPr>
          <w:rFonts w:ascii="Thorndale for VST" w:hAnsi="Thorndale for VST" w:cs="Thorndale for VST"/>
          <w:sz w:val="24"/>
          <w:szCs w:val="24"/>
        </w:rPr>
        <w:tab/>
        <w:t>The U.S. Constitution provides that all federal judges are appointed for life and that their compensation cannot be diminished during their continuance in office.</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2</w:t>
      </w:r>
      <w:r>
        <w:rPr>
          <w:rFonts w:ascii="Thorndale for VST" w:hAnsi="Thorndale for VST" w:cs="Thorndale for VST"/>
          <w:sz w:val="24"/>
          <w:szCs w:val="24"/>
        </w:rPr>
        <w:t>.</w:t>
      </w:r>
      <w:r>
        <w:rPr>
          <w:rFonts w:ascii="Thorndale for VST" w:hAnsi="Thorndale for VST" w:cs="Thorndale for VST"/>
          <w:sz w:val="24"/>
          <w:szCs w:val="24"/>
        </w:rPr>
        <w:tab/>
        <w:t>Rulings made by magistrates are considered binding, but most rulings are subject to review, modification, and reversal by a district judge of that court.</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3</w:t>
      </w:r>
      <w:r>
        <w:rPr>
          <w:rFonts w:ascii="Thorndale for VST" w:hAnsi="Thorndale for VST" w:cs="Thorndale for VST"/>
          <w:sz w:val="24"/>
          <w:szCs w:val="24"/>
        </w:rPr>
        <w:t>.</w:t>
      </w:r>
      <w:r>
        <w:rPr>
          <w:rFonts w:ascii="Thorndale for VST" w:hAnsi="Thorndale for VST" w:cs="Thorndale for VST"/>
          <w:sz w:val="24"/>
          <w:szCs w:val="24"/>
        </w:rPr>
        <w:tab/>
        <w:t>There is a federal appeals court solely for the District of Columbia.</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4</w:t>
      </w:r>
      <w:r>
        <w:rPr>
          <w:rFonts w:ascii="Thorndale for VST" w:hAnsi="Thorndale for VST" w:cs="Thorndale for VST"/>
          <w:sz w:val="24"/>
          <w:szCs w:val="24"/>
        </w:rPr>
        <w:t>.</w:t>
      </w:r>
      <w:r>
        <w:rPr>
          <w:rFonts w:ascii="Thorndale for VST" w:hAnsi="Thorndale for VST" w:cs="Thorndale for VST"/>
          <w:sz w:val="24"/>
          <w:szCs w:val="24"/>
        </w:rPr>
        <w:tab/>
        <w:t>Courts of limited jurisdiction are specialty courts that, by definition, are limited in the scope of cases in which they have jurisdiction.</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5</w:t>
      </w:r>
      <w:r>
        <w:rPr>
          <w:rFonts w:ascii="Thorndale for VST" w:hAnsi="Thorndale for VST" w:cs="Thorndale for VST"/>
          <w:sz w:val="24"/>
          <w:szCs w:val="24"/>
        </w:rPr>
        <w:t>.</w:t>
      </w:r>
      <w:r>
        <w:rPr>
          <w:rFonts w:ascii="Thorndale for VST" w:hAnsi="Thorndale for VST" w:cs="Thorndale for VST"/>
          <w:sz w:val="24"/>
          <w:szCs w:val="24"/>
        </w:rPr>
        <w:tab/>
        <w:t>The writ of habeas corpus pleas for the abolishment of the death penalty.</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6</w:t>
      </w:r>
      <w:r>
        <w:rPr>
          <w:rFonts w:ascii="Thorndale for VST" w:hAnsi="Thorndale for VST" w:cs="Thorndale for VST"/>
          <w:sz w:val="24"/>
          <w:szCs w:val="24"/>
        </w:rPr>
        <w:t>.</w:t>
      </w:r>
      <w:r>
        <w:rPr>
          <w:rFonts w:ascii="Thorndale for VST" w:hAnsi="Thorndale for VST" w:cs="Thorndale for VST"/>
          <w:sz w:val="24"/>
          <w:szCs w:val="24"/>
        </w:rPr>
        <w:tab/>
        <w:t>The presentment of evidence begins when the prosecution calls its first witness and ends when the prosecution rests.</w:t>
      </w:r>
    </w:p>
    <w:p w:rsidR="003D0DD9" w:rsidRDefault="003D0DD9" w:rsidP="003D0DD9">
      <w:pPr>
        <w:autoSpaceDE w:val="0"/>
        <w:autoSpaceDN w:val="0"/>
        <w:adjustRightInd w:val="0"/>
        <w:spacing w:before="240" w:after="0" w:line="240" w:lineRule="auto"/>
        <w:ind w:left="540"/>
        <w:rPr>
          <w:rFonts w:ascii="Thorndale for VST" w:hAnsi="Thorndale for VST" w:cs="Thorndale for VST"/>
          <w:sz w:val="24"/>
          <w:szCs w:val="24"/>
        </w:rPr>
      </w:pPr>
      <w:r>
        <w:rPr>
          <w:rFonts w:ascii="Thorndale for VST" w:hAnsi="Thorndale for VST" w:cs="Thorndale for VST"/>
          <w:b/>
          <w:bCs/>
          <w:sz w:val="24"/>
          <w:szCs w:val="24"/>
        </w:rPr>
        <w:t>7</w:t>
      </w:r>
      <w:r>
        <w:rPr>
          <w:rFonts w:ascii="Thorndale for VST" w:hAnsi="Thorndale for VST" w:cs="Thorndale for VST"/>
          <w:sz w:val="24"/>
          <w:szCs w:val="24"/>
        </w:rPr>
        <w:t>.</w:t>
      </w:r>
      <w:r>
        <w:rPr>
          <w:rFonts w:ascii="Thorndale for VST" w:hAnsi="Thorndale for VST" w:cs="Thorndale for VST"/>
          <w:sz w:val="24"/>
          <w:szCs w:val="24"/>
        </w:rPr>
        <w:tab/>
        <w:t>The burden of proof rests with the state.</w:t>
      </w:r>
    </w:p>
    <w:p w:rsidR="003D0DD9" w:rsidRDefault="003D0DD9" w:rsidP="003D0DD9">
      <w:pPr>
        <w:autoSpaceDE w:val="0"/>
        <w:autoSpaceDN w:val="0"/>
        <w:adjustRightInd w:val="0"/>
        <w:spacing w:after="0" w:line="240" w:lineRule="auto"/>
        <w:rPr>
          <w:rFonts w:ascii="Thorndale for VST" w:hAnsi="Thorndale for VST" w:cs="Thorndale for VST"/>
          <w:sz w:val="24"/>
          <w:szCs w:val="24"/>
        </w:rPr>
      </w:pPr>
      <w:r>
        <w:rPr>
          <w:rFonts w:ascii="Thorndale for VST" w:hAnsi="Thorndale for VST" w:cs="Thorndale for VST"/>
          <w:sz w:val="24"/>
          <w:szCs w:val="24"/>
        </w:rPr>
        <w:t xml:space="preserve"> (Britz 28-63)</w:t>
      </w:r>
    </w:p>
    <w:p w:rsidR="00E4298B" w:rsidRDefault="003D0DD9" w:rsidP="003D0DD9">
      <w:r>
        <w:rPr>
          <w:rFonts w:ascii="Thorndale for VST" w:hAnsi="Thorndale for VST" w:cs="Thorndale for VST"/>
          <w:sz w:val="24"/>
          <w:szCs w:val="24"/>
        </w:rPr>
        <w:t xml:space="preserve">Britz, Marjie T.. </w:t>
      </w:r>
      <w:r>
        <w:rPr>
          <w:rFonts w:ascii="Thorndale for VST" w:hAnsi="Thorndale for VST" w:cs="Thorndale for VST"/>
          <w:i/>
          <w:iCs/>
          <w:sz w:val="24"/>
          <w:szCs w:val="24"/>
        </w:rPr>
        <w:t>Criminal Evidence VitalSource eBook For DeVry University</w:t>
      </w:r>
      <w:r>
        <w:rPr>
          <w:rFonts w:ascii="Thorndale for VST" w:hAnsi="Thorndale for VST" w:cs="Thorndale for VST"/>
          <w:sz w:val="24"/>
          <w:szCs w:val="24"/>
        </w:rPr>
        <w:t>. Pearson Learning Solutions. &lt;vbk:9781256368045#outline(4.3)&gt;.</w:t>
      </w:r>
      <w:bookmarkStart w:id="0" w:name="_GoBack"/>
      <w:bookmarkEnd w:id="0"/>
    </w:p>
    <w:sectPr w:rsidR="00E4298B" w:rsidSect="00167AF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ndale Sans for VST">
    <w:altName w:val="Segoe UI"/>
    <w:charset w:val="00"/>
    <w:family w:val="swiss"/>
    <w:pitch w:val="variable"/>
    <w:sig w:usb0="00000001" w:usb1="000004E8" w:usb2="00000000" w:usb3="00000000" w:csb0="00000003" w:csb1="00000000"/>
  </w:font>
  <w:font w:name="Thorndale for VST">
    <w:altName w:val="Times New Roman"/>
    <w:charset w:val="00"/>
    <w:family w:val="roman"/>
    <w:pitch w:val="variable"/>
    <w:sig w:usb0="00000001" w:usb1="000004E8"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D11BA5"/>
    <w:rsid w:val="00167AFF"/>
    <w:rsid w:val="003D0DD9"/>
    <w:rsid w:val="004547E7"/>
    <w:rsid w:val="009F1379"/>
    <w:rsid w:val="00A23406"/>
    <w:rsid w:val="00D11BA5"/>
    <w:rsid w:val="00E429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A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15399</Words>
  <Characters>87780</Characters>
  <Application>Microsoft Office Word</Application>
  <DocSecurity>0</DocSecurity>
  <Lines>731</Lines>
  <Paragraphs>205</Paragraphs>
  <ScaleCrop>false</ScaleCrop>
  <Company/>
  <LinksUpToDate>false</LinksUpToDate>
  <CharactersWithSpaces>102974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Shadow Of Truth</dc:creator>
  <cp:lastModifiedBy>Marl</cp:lastModifiedBy>
  <cp:revision>2</cp:revision>
  <dcterms:created xsi:type="dcterms:W3CDTF">2017-03-25T04:28:00Z</dcterms:created>
  <dcterms:modified xsi:type="dcterms:W3CDTF">2017-03-25T04:28:00Z</dcterms:modified>
</cp:coreProperties>
</file>